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11211">
      <w:pPr>
        <w:spacing w:before="312" w:beforeLines="10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中国人民大学长江经济带研究院</w:t>
      </w:r>
    </w:p>
    <w:p w14:paraId="492FAB1E">
      <w:pPr>
        <w:spacing w:after="312" w:afterLines="10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年研究课题博士生（后）专项课题</w:t>
      </w:r>
    </w:p>
    <w:p w14:paraId="4E4F6AF5">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成渝地区战略性新兴产业（动力电池/光伏/智能终端）价格风险与衍生品对冲机制——以宜宾为典型（1.5万元经费预算）</w:t>
      </w:r>
    </w:p>
    <w:p w14:paraId="19690BF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十五五”是成渝地区双城经济圈提升发展能级、培育战略性新兴产业集群的关键时期，川渝协同打造“电走廊”“智行走廊”，要求产业链强化风险抵御、完善金融配套支撑。宜宾作为长江上游重要产业承载地，已建成千亿级动力电池集群、全省领先光伏产业与规模化智能终端产业链，是成渝新能源、电子信息产业核心支点。但动力电池锂钴原料、光伏硅料、终端芯片价格受地缘、产能、周期冲击剧烈，价格风险沿上下游传导，挤压企业盈利、制约集群稳定发展。当前国内已上市碳酸锂、工业硅等期货期权品种，为产业链风险对冲提供工具，但宜宾本地产业尚未形成适配的标准化风险评估与套保体系，龙头企业衍生品运用零散、缺少定制化对冲方案。立足成渝产业发展战略，剖析宜宾三大新兴产业价格风险并设计衍生品对冲方案，为成渝新兴产业发展提供可复制金融风控路径。</w:t>
      </w:r>
    </w:p>
    <w:p w14:paraId="6DFB3F5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083AA767">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产业价格波动特征与传导机制分析。聚焦动力电池、光伏、智能终端三大产业，梳理原材料、核心成品价格波动规律，识别核心影响因素，厘清风险沿产业链上下游传导路径，归纳当前产业价格管控核心痛点。</w:t>
      </w:r>
    </w:p>
    <w:p w14:paraId="25A7F37C">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构建适配宜宾三大产业的价格风险综合评估体系。结合宜宾产业集群全链条布局特征，选取多维风险指标，建立量化评估模型，实现产业、企业层面价格风险分级识别与动态监测。</w:t>
      </w:r>
    </w:p>
    <w:p w14:paraId="6D5B636B">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衍生品工具适配场景与对冲方案设计。结合期货、期权功能，匹配动力电池、光伏、智能终端不同环节经营需求，划分各类衍生品应用场景，分行业设计差异化价格对冲方案，对比各类工具适配性、实操流程与对冲成效。</w:t>
      </w:r>
    </w:p>
    <w:p w14:paraId="4A60AE26">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龙头企业案例实证研究。选取宜宾产业链重点龙头企业开展调研，复盘现有衍生品对冲实践，总结落地经验，梳理工具运用、制度配套层面现存短板。</w:t>
      </w:r>
    </w:p>
    <w:p w14:paraId="66017F3C">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产业价格风险防控优化对策。依托案例分析与模型结论，从企业套保机制、区域产业配套、金融服务供给、政策支撑维度提出完善建议，形成服务成渝战略性新兴产业的金融支撑路径。</w:t>
      </w:r>
    </w:p>
    <w:p w14:paraId="44990EC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结项成果要求：</w:t>
      </w:r>
    </w:p>
    <w:p w14:paraId="54E0F70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3.以中国人民大学长江经济带研究院为署名单位，在省部级及以上媒体发表与课题主题（即：宜宾）相关文章1篇。</w:t>
      </w:r>
    </w:p>
    <w:p w14:paraId="51F82245">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3D2AB0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250D3FAA">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国资投资模式创新与战略新兴产业发展：基于长江经济带的案例研究（1.5万元经费预算）</w:t>
      </w:r>
    </w:p>
    <w:p w14:paraId="6B2CEB1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党的二十届三中全会《中共中央关于进一步全面深化改革推进中国式现代化的决定》明确提出健全因地制宜发展新质生产力体制机制，完善战略性新兴产业发展政策治理体系，鼓励发挥国有资本耐心资本作用，激发战略性新兴产业融合集群发展活力。《“十四五”长江经济带发展实施方案》和《长江经济带—长江流域国土空间规划（2021—2035年）》同步部署依托沿江产业基础培育现代化产业集群，将长江经济带定位为引领全国高质量发展的主力军。硬科技企业研发周期长、前期投入大、市场化融资约束突出，国有资本通过投资模式创新可精准赋能硬科技成长。当前长江经济带沿线各城市依托国资平台布局科创投资、开展产业链招商，但各地国有资本治理机制、投资运作路径分散，完整可复制的产业培育范式尚未形成，相关实践经验缺乏系统性梳理。探究国资赋能科创产业路径，提炼培育模式，为各地提供理论与政策参考。</w:t>
      </w:r>
    </w:p>
    <w:p w14:paraId="61B69DC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75C75425">
      <w:pPr>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剖析国有资本投资赋能逻辑。立足发展新质生产力、壮大战略性新兴产业集群的国家战略要求，结合长江经济带发展定位，系统阐释国有资本投资模式创新赋能硬科技企业、拉动战略性新兴产业发展的内在路径。</w:t>
      </w:r>
    </w:p>
    <w:p w14:paraId="576B7404">
      <w:pPr>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开展长江经济带沿线城市案例研究。选取沿线重点城市作为研究样本，梳理各地国有资本治理创新举措、产业投资布局、产业招商落地举措与一线实践亮点。</w:t>
      </w:r>
    </w:p>
    <w:p w14:paraId="336E7775">
      <w:pPr>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提炼特色产业发展运行模式。基于各地国有资本投资培育硬科技产业的实践经验，总结形成“国资引领—资本赋能—生态聚合”一体化产业发展新模式。</w:t>
      </w:r>
    </w:p>
    <w:p w14:paraId="52F7CC5F">
      <w:pPr>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输出理论与政策参考依据。明确该模式的实践价值，为全国其他城市依托国有资本培育战略性新兴产业、实现高质量发展提供理论支撑与可落地政策参考。</w:t>
      </w:r>
    </w:p>
    <w:p w14:paraId="18281130">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630F1FB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4B86C58F">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F93617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23820C66">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农业产业集群从“规模扩张”向“效益提升”的转型路径研究——以宜宾“5+2”特色产业集群为例（1.5万元经费预算）</w:t>
      </w:r>
    </w:p>
    <w:p w14:paraId="56E3274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长江经济带发展规划纲要》确立“生态优先、绿色发展”核心导向，同步推进流域特色农业提质增效。当前正值国家“十五五”规划谋篇布局关键窗口期，国家层面持续部署壮大特色农业产业集群、推动农业从规模扩张转向效益提升，为沿江农业转型划定清晰路径。宜宾作为万里长江第一城、长江上游重要生态屏障，已建成白酒、竹、茶、油樟等“5+2”特色农业产业体系，产业种植规模位居全省前列，但普遍存在精深加工不足、品牌溢价偏低、产业链附加值不高等“大而不强”突出矛盾，产业停留在原料输出阶段，三产融合程度不足，制约乡村振兴与现代农业强市建设进程。立足长江绿色发展与“十五五”农业现代化要求，构建宜宾农业产业诊断体系，识别发展短板，为产业提质升级提供科学支撑。</w:t>
      </w:r>
    </w:p>
    <w:p w14:paraId="4F4B45D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263F6E30">
      <w:pPr>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宜宾“5+2”农业产业集群发展现状诊断。依托官方统计数据梳理白酒、竹、茶等七大产业规模与行业地位，从亩均产值、精深加工率、品牌溢价、联农带农四大维度构建评价体系，量化研判产业“大而不强”问题，区分产业链共性瓶颈与各产业个性化发展障碍。</w:t>
      </w:r>
    </w:p>
    <w:p w14:paraId="7E84EDFE">
      <w:pPr>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宜宾茶产业集群品牌转型路径研究。以宜宾早茶为案例，剖析多品牌并存、市场竞争力弱等核心问题，借鉴国内名茶发展经验，搭建“1+N”区域公用品牌矩阵，配套多渠道宣传传播、线上线下融合电商渠道、全产业链品质标准与溯源管控体系。</w:t>
      </w:r>
    </w:p>
    <w:p w14:paraId="3AD170A1">
      <w:pPr>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宜宾油樟产业生态碳汇价值转化路径研究。运用林业碳汇测算方法核算全域油樟林固碳潜力，设计CCER碳汇项目开发、碳汇收益分配、碳汇绿色金融工具；构建碳汇交易、精深加工、森林康养三位一体发展模式，打造低碳认证产品实现产业溢价增收。</w:t>
      </w:r>
    </w:p>
    <w:p w14:paraId="03FCB91B">
      <w:pPr>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农业产业集群转型规律提炼与政策体系构建。对比茶产业文化赋能、油樟产业生态转化两类转型模式，提炼“规模化—品牌化—高值化”三阶段转型模型；对标国内外特色农业产业先进经验并完成本土化适配，分产业制定差异化升级方案，从国家、地方、经营主体三个层级出台配套扶持政策与长效保障机制。</w:t>
      </w:r>
    </w:p>
    <w:p w14:paraId="232F6B0B">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0BDAC4F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3.以中国人民大学长江经济带研究院为署名单位，在省部级及以上媒体发表与课题主题（即：宜宾）相关文章1篇。</w:t>
      </w:r>
    </w:p>
    <w:p w14:paraId="5DB73D39">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B008FF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0B90209B">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长江经济带生物多样性保护与生态安全格局构建研究（1.5万元经费预算）</w:t>
      </w:r>
    </w:p>
    <w:p w14:paraId="7E42E15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国家先后出台《长江经济带发展规划纲要》和《长江流域重点水域禁捕和建立补偿制度实施方案》等文件，明确长江十年禁渔、山水林田湖草沙一体化治理、自然保护地整合优化、国家公园建设、生物多样性系统保护等硬性任务，要求统筹构建全域连贯、分区协同的流域生态安全格局。长江经济带横跨我国东中西部，上下游生态系统差异显著，上游珍稀鱼类、中游河湖湿地、下游河口滩涂均是生物多样性核心载体，但现有生态斑块碎片化、廊道连通不足、跨区域协同保护机制不完善等问题突出，生态安全屏障存在薄弱环节。当前流域生态管控缺少全域空间量化研判支撑，各类保护地实践经验未能系统整合，难以适配一体化系统治理政策要求。剖析流域生态保护短板，构建生物多样性保护方案，为长江生态治理提供决策支撑。</w:t>
      </w:r>
    </w:p>
    <w:p w14:paraId="3BC0B41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1C54F5F2">
      <w:pPr>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长江经济带生态空间分析与量化评估。通过识别长江干支流生态源地、廊道、关键节点，评估现有自然保护地体系的连通性与完整性。</w:t>
      </w:r>
    </w:p>
    <w:p w14:paraId="6A6F2466">
      <w:pPr>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流域分区典型生态保护案例剖析。分上游珍稀鱼类保护区、中游湿地、下游河口三大板块开展实证分析，梳理各地生态保护红线管控、水生栖息地修复、跨区域协同管护的实践成效与现存短板。</w:t>
      </w:r>
    </w:p>
    <w:p w14:paraId="1E43F8E6">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3．政策落地适配性与协同保护路径研究。对标生物多样性保护、长江十年禁渔、山水林田湖草沙综合治理、自然保护地整合优化等国家政策，提出成套优化举措，为长江经济带筑牢生态安全屏障提供专业决策支撑。</w:t>
      </w:r>
    </w:p>
    <w:p w14:paraId="0834CBBE">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265530C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6F362C86">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405DB93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44AB10A9">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新发展格局下公共服务平台化赋能长江经济带要素市场统一大市场高质量建设路径研究（1.5万元经费预算）</w:t>
      </w:r>
    </w:p>
    <w:p w14:paraId="091D7DE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当前长江经济带横跨东中西部，省市间制度规则不统一、要素流通存在行政壁垒，土地、资本、数据等要素配置效率偏低，公共资源交易平台作为打通要素流通堵点的关键载体，各地建设模式参差不齐，缺少统一理论指引与分层分类推进方案。现有研究未能系统阐释公共服务平台赋能要素跨域流转的作用逻辑，也缺少上中下游多区域对比实证。依托公共服务平台化理论开展多区域对比研究，能够厘清平台破除行政壁垒的作用逻辑，分阶段设计流域要素一体化建设方案，为推进长江经济带要素一体化、落实全国统一大市场建设部署提供理论与实践支撑。</w:t>
      </w:r>
    </w:p>
    <w:p w14:paraId="4FBF014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5A9F8397">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搭建理论分析框架。基于公共服务平台化理论，构建“组织属性—价值传导—效能转化”分析框架，界定要素流通类公共服务平台核心特征，厘清平台助推要素跨区域流动的内在作用机理。</w:t>
      </w:r>
    </w:p>
    <w:p w14:paraId="7F39AE9F">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解析平台破除要素流动壁垒路径。依托搭建的理论框架，阐释公共资源交易平台依托自身属性，破解区域行政分割、制度规则差异等要素流通梗阻的实现机制。</w:t>
      </w:r>
    </w:p>
    <w:p w14:paraId="7CE571A6">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多省市案例对比分析。选取长江经济带上、中、下游典型省市公共资源交易平台开展多案例研究，横向对比各地平台改革模式、实施成效与发展瓶颈。</w:t>
      </w:r>
    </w:p>
    <w:p w14:paraId="47050278">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提炼差异化路径并形成政策建议。结合长江经济带区域协同发展政策要求，分阶段、分区域设计平台一体化建设路径，围绕跨区域规则衔接、平台生态协同、国家战略适配提出配套对策，助力流域要素市场融合、服务全国统一大市场建设。</w:t>
      </w:r>
    </w:p>
    <w:p w14:paraId="48BF0259">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1BD6803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4EA096BA">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C44BC1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10812695">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习近平生态文明思想指引下长江经济带绿色发展协同的流域经济研究（1.5万元经费预算）</w:t>
      </w:r>
    </w:p>
    <w:p w14:paraId="6B068726">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紧扣《长江经济带发展规划纲要》印发十周年的里程碑时点，贯彻习近平总书记“共抓大保护、不搞大开发”的重要指示精神，全面响应国家“十五五”规划对流域经济、绿色发展、流域生态环境保护、区域协调发展的战略部署。长江经济带经济体量占全国近半数，但上中下游产业结构、生态承载力差距显著，生态保护与经济发展失衡，绿色协同量化评价体系缺失。在此背景下，系统构建流域绿色发展协同评价模型并识别空间作用规律，既是践行长江生态优先发展理念的内在要求，也是平衡上中下游发展差距、推动流域经济绿色转型的现实需要。</w:t>
      </w:r>
    </w:p>
    <w:p w14:paraId="5E88172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7CADBFB9">
      <w:pPr>
        <w:keepNext w:val="0"/>
        <w:keepLines w:val="0"/>
        <w:pageBreakBefore w:val="0"/>
        <w:widowControl w:val="0"/>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构建长江经济带绿色发展协同度评价指标体系，从生态质量、绿色产业、污染物排放、民生福祉等多个维度建立综合评估模型。</w:t>
      </w:r>
    </w:p>
    <w:p w14:paraId="1F7E7B83">
      <w:pPr>
        <w:keepNext w:val="0"/>
        <w:keepLines w:val="0"/>
        <w:pageBreakBefore w:val="0"/>
        <w:widowControl w:val="0"/>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实证分析流域生态保护对经济发展的空间效应，识别各地区生态保护与经济发展的耦合关系。</w:t>
      </w:r>
    </w:p>
    <w:p w14:paraId="3D7E559B">
      <w:pPr>
        <w:keepNext w:val="0"/>
        <w:keepLines w:val="0"/>
        <w:pageBreakBefore w:val="0"/>
        <w:widowControl w:val="0"/>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基于生态阈值理论，建立环境承载力与经济发展规模的门槛效应模型，探索流域生态保护红线与产业规划的优化路径。</w:t>
      </w:r>
    </w:p>
    <w:p w14:paraId="42E4BC9D">
      <w:pPr>
        <w:keepNext w:val="0"/>
        <w:keepLines w:val="0"/>
        <w:pageBreakBefore w:val="0"/>
        <w:widowControl w:val="0"/>
        <w:numPr>
          <w:ilvl w:val="0"/>
          <w:numId w:val="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基于研究结果，设计长江流域绿色协同发展机制，为“十五五”时期流域经济高质量发展提供决策支撑。</w:t>
      </w:r>
    </w:p>
    <w:p w14:paraId="39F149A3">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178F899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5F74926F">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7FAB612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1D9F3FCA">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长江经济带县域智慧治理体系研究（1.5万元经费预算）</w:t>
      </w:r>
    </w:p>
    <w:p w14:paraId="06331C33">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长江经济带覆盖654个县域，是城乡融合、生态保护、产业发展的核心载体，但上下游县域数字基础不均衡，普遍存在数据割裂、平台分散、治理标准缺失、数字化能力不足等短板，制约流域一体化智慧治理落地。当前缺少覆盖全流域县域的量化评估框架、适配县域特征的理论体系与标准化数据底座建设方案，难以支撑差异化智慧县域建设。在此政策与现实背景下，系统诊断县域数字治理短板，搭建一体化数据底座与评价体系，可为全国流域县域数字化转型提供标准化建设范本。</w:t>
      </w:r>
    </w:p>
    <w:p w14:paraId="4ED041A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05B4DA8A">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长江经济带县域智慧治理现状评估与问题诊断。收集整理654个县域十年面板数据，搭建包含数字基础设施、数字政府、公共服务、产业、生态环保多维度评估框架，借助空间聚类、统计分析研判治理水平、区域差异与演变规律，识别制度、资源、技术、能力四类发展短板，夯实研究现实基础。</w:t>
      </w:r>
    </w:p>
    <w:p w14:paraId="3499D56E">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县域智慧治理理论框架与体系构建。依托治理现代化、数字治理理论，结合县域发展特征搭建专属理论框架，厘清智慧治理核心要素、参与主体与运行逻辑，构建由组织、制度、平台、保障组成的完整治理体系，形成可复制推广的县域智慧治理整体架构。</w:t>
      </w:r>
    </w:p>
    <w:p w14:paraId="47FED839">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县域智慧治理数据资源体系与平台支撑。建立包含七大门类的县域统一数据资源目录，设计多源数据融合、跨部门共享、全链条应用的数据治理机制，搭建一体化大数据底座，覆盖县域规划、建设、管理、运营全业务协同场景。</w:t>
      </w:r>
    </w:p>
    <w:p w14:paraId="7799E5A9">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县域智慧治理评价体系构建与应用路径研究。构建科学可落地的县域智慧治理评价指标，通过信效度检验完成指标优化，形成动态监测、横向对比评价工具；结合典型案例、政策情景模拟，设计分区域差异化优化路径与配套政策建议。</w:t>
      </w:r>
    </w:p>
    <w:p w14:paraId="011A7049">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4D401C2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5DD7EE15">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70AFB1F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61505C27">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四川省数据要素市场化、数商发展与数实融合创新实践及其发展指数报告（1.5万元经费预算）</w:t>
      </w:r>
    </w:p>
    <w:p w14:paraId="4A0FB0F3">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中央出台《数据二十条》和《关于加快建设全国统一大市场的意见》，部署培育数据要素市场、健全数据流通交易体系，“十五五”规划明确建设全国一体化数据市场，同步实施“数据要素”行动计划，要求各地加快数据资源确权、数据商培育、数实深度融合。四川省紧扣国家战略，出台《四川省数据条例》、数据要素市场化综合改革方案与专项工作方案，以数据要素市场化配置改革为主线，推动数据资产入表、公共数据授权运营，打造区域特色数商生态。当前省内各地数据市场发展不均衡，缺少标准化量化评价工具，数商培育、数实融合成效底数不清，可复制的地方实践模式尚未系统提炼，制约全省数据要素市场整体提质，也难以对接全国统一数据市场建设要求。对四川而言，如何构建全域数据要素发展评价体系、打通数据资产价值化通道，是抢占数字经济发展先机的核心任务。编制全省发展指数、梳理创新堵点，能够形成适配四川的数据要素改革实施路线图。</w:t>
      </w:r>
    </w:p>
    <w:p w14:paraId="08AE86E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301E9239">
      <w:pPr>
        <w:keepNext w:val="0"/>
        <w:keepLines w:val="0"/>
        <w:pageBreakBefore w:val="0"/>
        <w:widowControl w:val="0"/>
        <w:numPr>
          <w:ilvl w:val="0"/>
          <w:numId w:val="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评价体系并完成全省量化评估。围绕数据要素市场化配置、数商生态培育、数实融合三大维度搭建综合评价指标体系，依托指标测算省内重点城市数据交易活跃度、数商成长性与数实融合成效，编制数据要素市场化发展指数报告，划分区域发展梯队，直观呈现全省各地区发展差距与整体格局。</w:t>
      </w:r>
    </w:p>
    <w:p w14:paraId="4D187DDA">
      <w:pPr>
        <w:keepNext w:val="0"/>
        <w:keepLines w:val="0"/>
        <w:pageBreakBefore w:val="0"/>
        <w:widowControl w:val="0"/>
        <w:numPr>
          <w:ilvl w:val="0"/>
          <w:numId w:val="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开展典型城市、头部数商深度案例分析。选取指数排名靠前城市及代表性头部数商企业，深挖其在数据资源登记、数据产品交易、数据资产入表、产业跨界融合应用等环节的落地举措与实操模式。</w:t>
      </w:r>
    </w:p>
    <w:p w14:paraId="068FA527">
      <w:pPr>
        <w:keepNext w:val="0"/>
        <w:keepLines w:val="0"/>
        <w:pageBreakBefore w:val="0"/>
        <w:widowControl w:val="0"/>
        <w:numPr>
          <w:ilvl w:val="0"/>
          <w:numId w:val="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总结实践经验并提出优化政策建议。梳理四川培育数商生态、畅通数据要素流通、推进数实融合的特色创新模式，提炼可复制推广的“四川经验”，识别市场发展现存痛点堵点；围绕优化数据要素市场环境、扩容数商主体、深化数实融合提出针对性对策，为全国统一数据市场建设提供四川实践参考。</w:t>
      </w:r>
    </w:p>
    <w:p w14:paraId="6B52461E">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57B878D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3.以中国人民大学长江经济带研究院为署名单位，在省部级及以上媒体发表与课题主题（即：四川，或者宜宾）相关文章1篇。</w:t>
      </w:r>
    </w:p>
    <w:p w14:paraId="3F956AF2">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6040098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07D6B20F">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习近平生态文明思想指引下长江经济带跨界协同治理与生态补偿机制研究（1.5万元经费预算）</w:t>
      </w:r>
    </w:p>
    <w:p w14:paraId="6026963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习近平生态文明思想提出“山水林田湖草沙是生命共同体”“共抓大保护、不搞大开发”等重要论断，明确要求统筹大江大河系统协同治理、完善流域横向生态补偿制度，为长江流域跨界治理提供根本遵循。长江经济带横跨多省市，上下游、左右岸分属不同行政单元，行政区边界阻碍水资源、产业、生态要素顺畅流通，生态保护成本与发展收益错配，现有生态补偿机制核算口径不统一、激励约束不足，难以形成稳定长效协同治理格局。当前流域协同理论缺少多尺度嵌套分析与统一量化核算模型，典型区域实践经验未系统提炼。在此背景下，系统构建标准化生态补偿核算体系与跨界协同治理模式，既是落实流域系统治理的战略要求，也是调和跨区域生态利益矛盾、实现上下游互利共生的现实需要。</w:t>
      </w:r>
    </w:p>
    <w:p w14:paraId="63DACB9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5B227C34">
      <w:pPr>
        <w:keepNext w:val="0"/>
        <w:keepLines w:val="0"/>
        <w:pageBreakBefore w:val="0"/>
        <w:widowControl w:val="0"/>
        <w:numPr>
          <w:ilvl w:val="0"/>
          <w:numId w:val="1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构建流域跨区域协调理论模型。依托新经济地理学、外部性理论搭建一般均衡分析框架，厘清跨界治理、生态补偿内在作用机理，明确实现上下游激励相容、稳定合作的制度条件。</w:t>
      </w:r>
    </w:p>
    <w:p w14:paraId="4CEBDC78">
      <w:pPr>
        <w:keepNext w:val="0"/>
        <w:keepLines w:val="0"/>
        <w:pageBreakBefore w:val="0"/>
        <w:widowControl w:val="0"/>
        <w:numPr>
          <w:ilvl w:val="0"/>
          <w:numId w:val="1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多尺度测算行政边界分割摩擦效应。整合宏微观数据并完成空间融合处理，从流域、省际、市际、区县四层尺度，量化分析行政边界对要素流动、产业协作、生态公共品供给造成的阻滞影响。</w:t>
      </w:r>
    </w:p>
    <w:p w14:paraId="5378A9ED">
      <w:pPr>
        <w:keepNext w:val="0"/>
        <w:keepLines w:val="0"/>
        <w:pageBreakBefore w:val="0"/>
        <w:widowControl w:val="0"/>
        <w:numPr>
          <w:ilvl w:val="0"/>
          <w:numId w:val="1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建立多层级生态补偿核算与制度模型。将外部性内部化逻辑融入委托代理框架，搭建“成本—价值—收益”三维统一核算体系，设计补偿标准动态调整、绩效考评、契约约束、全程监管一体化落地制度。</w:t>
      </w:r>
    </w:p>
    <w:p w14:paraId="7E1B06EB">
      <w:pPr>
        <w:keepNext w:val="0"/>
        <w:keepLines w:val="0"/>
        <w:pageBreakBefore w:val="0"/>
        <w:widowControl w:val="0"/>
        <w:numPr>
          <w:ilvl w:val="0"/>
          <w:numId w:val="1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典型跨省流域案例对比与治理工具提炼。选取代表性跨省流域开展深度案例分析，总结跨界协同、生态利益共享实践模式，提炼具备通用性、可复制推广的流域跨界治理工具。</w:t>
      </w:r>
    </w:p>
    <w:p w14:paraId="473B07AD">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2561240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1881D965">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C6342D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713E74FF">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长江国家文化公园文旅融合的品牌引领效应评估与优化路径研究——以宜宾为例（1.5万元经费预算）</w:t>
      </w:r>
    </w:p>
    <w:p w14:paraId="4B2E0B0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建设长江国家文化公园是党中央重大决策部署，2026年初国家明确打造“五大长江”，将“文化长江”置于流域发展核心位置，要求深挖长江文化底蕴、深化文旅融合，打造特色长江文旅品牌。“十四五”沿江各地已开展文化遗产保护与文旅开发探索，“十五五”阶段公园建设进入提质升级关键期，推动文化资源转化为发展动能成为核心任务。宜宾地处长江首城，是长江国家文化公园上游核心承载节点，坐拥独特长江文脉、白酒、竹茶等文旅资源，具备依托区域品牌带动文旅产业发展的先天条件。对于宜宾，如何依托长江国家文化公园建设打造区域标杆文旅IP，是提升城市文化软实力的核心路径。本研究搭建品牌综合评价体系，设计文旅融合长效运营方案，助力宜宾讲好长江上游文化故事。</w:t>
      </w:r>
    </w:p>
    <w:p w14:paraId="2666CB0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p>
    <w:p w14:paraId="5E0967A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6985E118">
      <w:pPr>
        <w:keepNext w:val="0"/>
        <w:keepLines w:val="0"/>
        <w:pageBreakBefore w:val="0"/>
        <w:widowControl w:val="0"/>
        <w:numPr>
          <w:ilvl w:val="0"/>
          <w:numId w:val="1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阐释长江国家文化公园品牌内涵与价值转化机理。依托品牌经济学、文化旅游学理论，界定长江国家文化公园复合型文化品牌属性，从文化标识、旅游吸引、产业带动、区域协同四维解析品牌价值，厘清长江文化资源通过品牌化运营转化为文旅融合发展动能的内在逻辑。</w:t>
      </w:r>
    </w:p>
    <w:p w14:paraId="3A2DC2CC">
      <w:pPr>
        <w:keepNext w:val="0"/>
        <w:keepLines w:val="0"/>
        <w:pageBreakBefore w:val="0"/>
        <w:widowControl w:val="0"/>
        <w:numPr>
          <w:ilvl w:val="0"/>
          <w:numId w:val="1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搭建文旅融合品牌效能综合评估指标体系。结合长江国家文化公园共性标准与长江上游地域特点，划分文化彰显、市场吸引、产业带动、区域协同四大维度，融合层次分析法、熵值法构建适配量化评价体系，为公园建设成效测算提供工具支撑。</w:t>
      </w:r>
    </w:p>
    <w:p w14:paraId="1AB0894F">
      <w:pPr>
        <w:keepNext w:val="0"/>
        <w:keepLines w:val="0"/>
        <w:pageBreakBefore w:val="0"/>
        <w:widowControl w:val="0"/>
        <w:numPr>
          <w:ilvl w:val="0"/>
          <w:numId w:val="1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开展长江上游实证评估与典型品牌案例剖析。以川渝段长江国家文化公园为实证范围，运用评价体系量化研判文旅品牌发展现状、优势与短板；选取川渝长江文旅带、三峡旅游节等标杆品牌实地调研访谈，总结品牌打造、宣传运营、价值变现的成熟模式与实践经验。</w:t>
      </w:r>
    </w:p>
    <w:p w14:paraId="524E4C28">
      <w:pPr>
        <w:keepNext w:val="0"/>
        <w:keepLines w:val="0"/>
        <w:pageBreakBefore w:val="0"/>
        <w:widowControl w:val="0"/>
        <w:numPr>
          <w:ilvl w:val="0"/>
          <w:numId w:val="1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提出文旅融合品牌引领效能提升优化路径。对标打造长江主题文旅线路政策导向，从品牌精准定位、文旅产品开发、多元营销传播、跨区域协同机制四个维度制定实操对策，助力长江国家文化公园提质建设，落地“文化长江”发展战略。</w:t>
      </w:r>
    </w:p>
    <w:p w14:paraId="7189C9C3">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531948D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3.以中国人民大学长江经济带研究院为署名单位，在省部级及以上媒体发表与课题主题（即：长江经济带或宜宾）相关文章1篇。</w:t>
      </w:r>
    </w:p>
    <w:p w14:paraId="466B2D22">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401A64D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0208723B">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风险投资促进长江经济带产业结构升级的机制与政策研究（1.5万元经费预算）</w:t>
      </w:r>
    </w:p>
    <w:p w14:paraId="697BD67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长江经济带发展规划纲要》明确以产业转型升级引领流域高质量发展，国家“十五五”规划提出健全多层次股权投资市场，发挥风险投资赋能科创产业、优化资源配置的功能，助力培育新质生产力。长江经济带是我国产业集聚核心区域，沿线城市产业基础、经济水平差距明显，传统产业转型压力大，战略性新兴产业培育亟需长期风险资本支撑。当前区域内风险投资分布不均衡，资本赋能产业升级的内在传导逻辑、区域差异化影响缺少系统实证检验，各地金融扶持产业转型的实践模式尚未整合提炼。在此背景下，系统实证检验风险投资驱动产业升级的内在机理并配套优化金融政策，也是拓宽流域产业融资渠道、加快现代化产业体系构建的现实需要。</w:t>
      </w:r>
    </w:p>
    <w:p w14:paraId="77EB468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3FA064BE">
      <w:pPr>
        <w:keepNext w:val="0"/>
        <w:keepLines w:val="0"/>
        <w:pageBreakBefore w:val="0"/>
        <w:widowControl w:val="0"/>
        <w:numPr>
          <w:ilvl w:val="0"/>
          <w:numId w:val="1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研判长江经济带产业与风投发展现状。梳理流域产业结构演进规律，测算产业合理化、高级化发展趋势，结合区域风险投资发展格局，定性剖析金融资本参与产业结构调整的基础作用。</w:t>
      </w:r>
    </w:p>
    <w:p w14:paraId="5026800E">
      <w:pPr>
        <w:keepNext w:val="0"/>
        <w:keepLines w:val="0"/>
        <w:pageBreakBefore w:val="0"/>
        <w:widowControl w:val="0"/>
        <w:numPr>
          <w:ilvl w:val="0"/>
          <w:numId w:val="1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实证检验风投对产业升级的影响效应。构建城市产业升级评价指标，匹配风投、经济面板数据开展计量分析，验证风险投资培育新兴产业、改造传统产业、优化要素配置的实际作用。</w:t>
      </w:r>
    </w:p>
    <w:p w14:paraId="7855DB59">
      <w:pPr>
        <w:keepNext w:val="0"/>
        <w:keepLines w:val="0"/>
        <w:pageBreakBefore w:val="0"/>
        <w:widowControl w:val="0"/>
        <w:numPr>
          <w:ilvl w:val="0"/>
          <w:numId w:val="1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解析传导路径与区域异质性特征。从技术创新、资本配置、产业集聚三条渠道拆解风投驱动产业升级的传导机制，对比经济、人才、产业基础差异下的区域作用异质性。</w:t>
      </w:r>
    </w:p>
    <w:p w14:paraId="7EC9E011">
      <w:pPr>
        <w:keepNext w:val="0"/>
        <w:keepLines w:val="0"/>
        <w:pageBreakBefore w:val="0"/>
        <w:widowControl w:val="0"/>
        <w:numPr>
          <w:ilvl w:val="0"/>
          <w:numId w:val="12"/>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总结实践经验并提出优化政策。选取长江经济带典型城市开展案例分析，归纳风投助推产业升级可行路径，从健全区域金融生态角度出台配套举措，支撑流域产业高质量发展决策。</w:t>
      </w:r>
    </w:p>
    <w:p w14:paraId="14224F12">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21C07EC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3D98CEE4">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1359986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415EA3D3">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科创金融赋能新质生产力：风险投资支持长江经济带创新创业发展的机制与政策研究（1.5万元经费预算）</w:t>
      </w:r>
    </w:p>
    <w:p w14:paraId="63AB531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国家创新驱动发展战略、培育新质生产力相关部署明确提出健全科创金融支撑体系，发挥风险投资赋能科技创新、市场创业的核心作用，《长江经济带发展规划纲要》同步要求依托金融资本打造沿江创新产业走廊。长江经济带集聚大量科创资源与市场主体，但沿线城市经济、人才、产业基础差距显著，风险投资存在区域布局失衡、赋能路径模糊等问题，资本对科创产出、创业活力的差异化带动效果缺乏量化实证。当前亟需厘清风险投资助力新质生产力培育的内在逻辑，整合区域科创金融实践经验。本研究以长江经济带为对象，量化研判风险投资对创新创业的实际作用，拆解多层传导路径与区域异质性，结合典型城市案例总结成熟模式，配套完善科创金融生态的优化对策，为流域创新发展与新质生产力培育提供理论与决策支撑。</w:t>
      </w:r>
    </w:p>
    <w:p w14:paraId="1B41083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2679C3ED">
      <w:pPr>
        <w:keepNext w:val="0"/>
        <w:keepLines w:val="0"/>
        <w:pageBreakBefore w:val="0"/>
        <w:widowControl w:val="0"/>
        <w:numPr>
          <w:ilvl w:val="0"/>
          <w:numId w:val="13"/>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梳理流域风险投资发展基础特征。统计长江经济带风投规模、投资结构与空间分布格局，界定科创金融体系服务区域创新创业的功能定位，摸清行业发展现实底数。</w:t>
      </w:r>
    </w:p>
    <w:p w14:paraId="08407FAB">
      <w:pPr>
        <w:keepNext w:val="0"/>
        <w:keepLines w:val="0"/>
        <w:pageBreakBefore w:val="0"/>
        <w:widowControl w:val="0"/>
        <w:numPr>
          <w:ilvl w:val="0"/>
          <w:numId w:val="13"/>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实证检验风险投资对创新创业的影响效应。构建城市创新创业综合评价指标，匹配风投、科创面板数据开展计量分析，验证风投提升科创成果产出、培育科技企业、激活市场创业活力的实际效能。</w:t>
      </w:r>
    </w:p>
    <w:p w14:paraId="3A68D9C5">
      <w:pPr>
        <w:keepNext w:val="0"/>
        <w:keepLines w:val="0"/>
        <w:pageBreakBefore w:val="0"/>
        <w:widowControl w:val="0"/>
        <w:numPr>
          <w:ilvl w:val="0"/>
          <w:numId w:val="13"/>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解析传导机制与区域异质性。从资本供给、创新要素配置、创业生态培育三维拆解风投赋能科创的传导路径，对比经济、人力、产业基础差异带来的区域作用分化特征。</w:t>
      </w:r>
    </w:p>
    <w:p w14:paraId="4CB336FB">
      <w:pPr>
        <w:keepNext w:val="0"/>
        <w:keepLines w:val="0"/>
        <w:pageBreakBefore w:val="0"/>
        <w:widowControl w:val="0"/>
        <w:numPr>
          <w:ilvl w:val="0"/>
          <w:numId w:val="13"/>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案例总结并提出配套优化政策。选取长江经济带典型科创城市开展案例分析，提炼风投培育新质生产力的可行模式；围绕健全科创金融体系、规范风投行业、优化区域创业生态提出针对性建议，服务流域创新驱动发展。</w:t>
      </w:r>
    </w:p>
    <w:p w14:paraId="76A7F3B3">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2BC4DF1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1B210AC7">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44B2138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6000A626">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习近平生态文明思想指引下长江经济带生态环境协同治理效能评估与制度优化研究（1.5万元经费预算）</w:t>
      </w:r>
    </w:p>
    <w:p w14:paraId="2E23322B">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以习近平生态文明思想为根本遵循，紧扣“共抓大保护、不搞大开发”长江经济带发展战略，聚焦流域治理现代化建设现实需求。长江流域横跨十一省市，上下游、左右岸权责交叉，行政分割导致协同治理碎片化，跨区域污染联防、生态补偿、统一监管仍存在机制堵点，亟需科学工具量化协同治理成效、完善配套制度。当前缺少覆盖治理目标、政策协同、环境改善多维度的标准化效能评估体系，制约跨省市协同治理提质增效。本研究系统梳理长江生态治理政策体系，搭建协同治理效能评估技术框架，完成省级量化测算，识别协同短板、总结地方创新实践，针对性提出制度优化方案，为全流域生态共保联治、推进长江大保护长效落地提供理论支撑与决策依据。</w:t>
      </w:r>
    </w:p>
    <w:p w14:paraId="7A07FC4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7C6E8CE8">
      <w:pPr>
        <w:keepNext w:val="0"/>
        <w:keepLines w:val="0"/>
        <w:pageBreakBefore w:val="0"/>
        <w:widowControl w:val="0"/>
        <w:numPr>
          <w:ilvl w:val="0"/>
          <w:numId w:val="1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梳理流域生态协同治理政策与运行框架。系统梳理长江经济带生态环境保护系列顶层部署与法规政策，厘清长江生态环境协同治理完整机制框架、实施基础与运行逻辑。</w:t>
      </w:r>
    </w:p>
    <w:p w14:paraId="2D519B65">
      <w:pPr>
        <w:keepNext w:val="0"/>
        <w:keepLines w:val="0"/>
        <w:pageBreakBefore w:val="0"/>
        <w:widowControl w:val="0"/>
        <w:numPr>
          <w:ilvl w:val="0"/>
          <w:numId w:val="1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构建并应用协同治理效能评估体系。围绕治理目标达成、治理举措协同、环境质量改善三大维度搭建标准化评估技术体系，对长江经济带各省份开展生态协同治理效能量化测算。</w:t>
      </w:r>
    </w:p>
    <w:p w14:paraId="029F60B5">
      <w:pPr>
        <w:keepNext w:val="0"/>
        <w:keepLines w:val="0"/>
        <w:pageBreakBefore w:val="0"/>
        <w:widowControl w:val="0"/>
        <w:numPr>
          <w:ilvl w:val="0"/>
          <w:numId w:val="1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识别治理制约因素并总结创新实践。通过实地调研剖析制约跨区域生态协同治理效能的关键障碍与深层成因，梳理各地在联防联控、横向生态补偿等领域的创新探索与成熟实践模式。</w:t>
      </w:r>
    </w:p>
    <w:p w14:paraId="6973AD28">
      <w:pPr>
        <w:keepNext w:val="0"/>
        <w:keepLines w:val="0"/>
        <w:pageBreakBefore w:val="0"/>
        <w:widowControl w:val="0"/>
        <w:numPr>
          <w:ilvl w:val="0"/>
          <w:numId w:val="14"/>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提出流域生态协同治理制度优化方案。结合评估结果与地方实践经验，从跨区域联动、考核激励、生态补偿、执法协同等维度完善制度设计，形成适配长江全流域的长效协同治理优化对策。</w:t>
      </w:r>
    </w:p>
    <w:p w14:paraId="038B90A4">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73D4F19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28358005">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F5FCC2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031CF3EF">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新质生产力驱动下长江流域生态产品价值实现的机制创新与路径研究（1.5万元经费预算）</w:t>
      </w:r>
    </w:p>
    <w:p w14:paraId="4B799D4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培育新质生产力、建立健全生态产品价值实现机制是国家重大战略部署，《长江经济带发展规划纲要》和《关于建立健全生态产品价值实现机制的意见》明确依托绿色科创、数字化手段打通生态资源变现全链条。长江流域生态资源富集、上中下游发展梯度差异显著，当前生态产品存在核算标准不统一、市场化运营不足、生态补偿落地难等问题，新质生产力赋能生态价值转化的路径缺少系统性理论框架与量化评估工具。为落实流域绿色高质量发展要求，本研究以长江流域为研究范围，围绕科创、绿色技术、数字、制度四类新质生产力要素，探究其贯穿生态产品全链条的赋能逻辑，搭建多维度评价模型评估区域实践成效，结合典型区域案例总结融合发展范式，形成配套政策体系，为长江流域生态优势转化为发展优势提供实践支撑。</w:t>
      </w:r>
    </w:p>
    <w:p w14:paraId="0E625359">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668AC890">
      <w:pPr>
        <w:keepNext w:val="0"/>
        <w:keepLines w:val="0"/>
        <w:pageBreakBefore w:val="0"/>
        <w:widowControl w:val="0"/>
        <w:numPr>
          <w:ilvl w:val="0"/>
          <w:numId w:val="15"/>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剖析新质生产力赋能生态产品价值实现全链条机理。围绕科创、绿色技术、数字、制度创新四大核心要素，探究其作用于生态产品调查监测、价值核算、产业开发、生态补偿、市场交易全流程的内在路径。</w:t>
      </w:r>
    </w:p>
    <w:p w14:paraId="4D6D9C6F">
      <w:pPr>
        <w:keepNext w:val="0"/>
        <w:keepLines w:val="0"/>
        <w:pageBreakBefore w:val="0"/>
        <w:widowControl w:val="0"/>
        <w:numPr>
          <w:ilvl w:val="0"/>
          <w:numId w:val="15"/>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搭建综合评价框架并开展分区域动态评估。构建“生产力要素—机制创新—综合效益”三维评价体系，选取长江上中下游典型区域，量化测算新质生产力赋能生态产品价值实现的实际成效。</w:t>
      </w:r>
    </w:p>
    <w:p w14:paraId="29204817">
      <w:pPr>
        <w:keepNext w:val="0"/>
        <w:keepLines w:val="0"/>
        <w:pageBreakBefore w:val="0"/>
        <w:widowControl w:val="0"/>
        <w:numPr>
          <w:ilvl w:val="0"/>
          <w:numId w:val="15"/>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典型案例深度剖析与融合范式提炼。筛选绿色技术、生态产业、数字治理、市场模式创新标杆区域，拆解案例驱动要素、运营模式与协同逻辑，总结可复制的“新质生产力+生态产品价值实现”发展范式。</w:t>
      </w:r>
    </w:p>
    <w:p w14:paraId="798285B5">
      <w:pPr>
        <w:keepNext w:val="0"/>
        <w:keepLines w:val="0"/>
        <w:pageBreakBefore w:val="0"/>
        <w:widowControl w:val="0"/>
        <w:numPr>
          <w:ilvl w:val="0"/>
          <w:numId w:val="15"/>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构建配套政策支撑体系。基于机理分析、量化评估与案例经验，设计系统化政策工具组合，完善长江流域依托新质生产力转化生态价值的长效制度安排。</w:t>
      </w:r>
    </w:p>
    <w:p w14:paraId="7141EB77">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56AEECF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3.以中国人民大学长江经济带研究院为署名单位，在省部级及以上媒体发表与课题主题（即：长江经济带或长江流域）相关文章1篇。</w:t>
      </w:r>
    </w:p>
    <w:p w14:paraId="69598301">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735F578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70ACC4F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bookmarkStart w:id="0" w:name="_GoBack"/>
      <w:bookmarkEnd w:id="0"/>
    </w:p>
    <w:p w14:paraId="2AD802C3">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长江经济带高校学科专业结构调整服务区域新质生产力发展的机制与路径研究——以四川省、宜宾市为重点（1.5万元经费预算）</w:t>
      </w:r>
    </w:p>
    <w:p w14:paraId="5FA8D05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在“十五五”规划谋篇布局和新质生产力加快发展的背景下，高校作为人才供给与知识创新的重要主体，其学科专业结构能否有效对接区域产业结构升级，成为影响区域高质量发展的关键因素。当前长江经济带部分地区仍存在高校学科设置与产业需求匹配度不高、专业调整滞后于产业变革、高校服务区域发展机制不畅等问题。四川、宜宾作为长江上游产业重镇，动力电池、数字经济、白酒等新兴产业快速扩张，人才供需错配矛盾凸显。高校作为创新与人才供给核心载体，其学科结构能否适配区域新质生产力，直接决定流域高质量发展成色。立足“十五五”谋篇布局关键节点与长江经济带整体战略，本研究聚焦四川、宜宾，厘清学科专业与新质生产力耦合逻辑，识别制度堵点并设计长效协同机制，为流域产教融合提质提供决策支撑。</w:t>
      </w:r>
    </w:p>
    <w:p w14:paraId="48AF3F0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6E9C0EAB">
      <w:pPr>
        <w:keepNext w:val="0"/>
        <w:keepLines w:val="0"/>
        <w:pageBreakBefore w:val="0"/>
        <w:widowControl w:val="0"/>
        <w:numPr>
          <w:ilvl w:val="0"/>
          <w:numId w:val="1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研判长江经济带高校学科与产业匹配现状。梳理沿线高校学科专业整体格局、演变特征，量化测算学科设置与区域产业结构的适配水平，摸清全域人才供给与产业需求错配底数。</w:t>
      </w:r>
    </w:p>
    <w:p w14:paraId="084E31FB">
      <w:pPr>
        <w:keepNext w:val="0"/>
        <w:keepLines w:val="0"/>
        <w:pageBreakBefore w:val="0"/>
        <w:widowControl w:val="0"/>
        <w:numPr>
          <w:ilvl w:val="0"/>
          <w:numId w:val="1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构建分析框架并揭示双向作用机理。搭建高校学科专业结构与区域新质生产力发展的理论分析框架，系统拆解二者相互促进、动态适配的内在传导机制。</w:t>
      </w:r>
    </w:p>
    <w:p w14:paraId="5697882D">
      <w:pPr>
        <w:keepNext w:val="0"/>
        <w:keepLines w:val="0"/>
        <w:pageBreakBefore w:val="0"/>
        <w:widowControl w:val="0"/>
        <w:numPr>
          <w:ilvl w:val="0"/>
          <w:numId w:val="1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开展川宜典型校地案例实证剖析。选取四川、宜宾代表性高校与主导产业案例，梳理高校服务数字经济、战略性新兴产业、传统产业升级的校地协同实践路径。</w:t>
      </w:r>
    </w:p>
    <w:p w14:paraId="15B1FE42">
      <w:pPr>
        <w:keepNext w:val="0"/>
        <w:keepLines w:val="0"/>
        <w:pageBreakBefore w:val="0"/>
        <w:widowControl w:val="0"/>
        <w:numPr>
          <w:ilvl w:val="0"/>
          <w:numId w:val="1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识别学科调整深层治理障碍。聚焦专业审批管理、评价考核导向、教育资源分配等维度，剖析制约高校学科动态优化的制度性约束与现实困境。</w:t>
      </w:r>
    </w:p>
    <w:p w14:paraId="72A8B4F0">
      <w:pPr>
        <w:keepNext w:val="0"/>
        <w:keepLines w:val="0"/>
        <w:pageBreakBefore w:val="0"/>
        <w:widowControl w:val="0"/>
        <w:numPr>
          <w:ilvl w:val="0"/>
          <w:numId w:val="16"/>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设计面向“十五五”长效协同政策体系。围绕学科专业动态调整、产教资源统筹、校地联动机制提出成套优化对策，构建适配长江经济带的教育产业协同长效制度。</w:t>
      </w:r>
    </w:p>
    <w:p w14:paraId="1369237C">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52196E8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3.以中国人民大学长江经济带研究院为署名单位，在省部级及以上媒体发表与课题主题（即：长江经济带或宜宾）相关文章1篇。</w:t>
      </w:r>
    </w:p>
    <w:p w14:paraId="488EC871">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6CA5430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5D06E70D">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双碳目标下生态产品价值实现机制创新与模式路径研究——基于长江流域碳减排与生态价值协同转化的实证（1.5万元经费预算）</w:t>
      </w:r>
    </w:p>
    <w:p w14:paraId="1AB08EE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立足国家碳达峰战略目标，我国明确统筹碳减排、生态资源转化与民生增收，长江经济带发展规划纲要同步要求依托流域丰富森林、湿地碳汇资源，探索生态产业化、碳汇市场化路径。当前各地降碳行动与生态价值转化存在割裂，碳汇收益分配、绿色金融配套、群众利益联结机制不完善，缺少统一量化工具衡量二者协同成效。长江流域覆盖生态保护区、碳汇试点、绿色金融改革创新试验区等多类载体，是探索“双碳”与生态价值融合发展的典型示范区。在此政策背景下，本研究聚焦碳减排与生态产品价值深度融合，围绕降碳增绿、以碳生金、减碳惠民三大模式搭建协同评价体系，结合流域多类典型区域实证测算，拆解成熟落地模式，提炼可复制制度方案，助力双碳目标与共同富裕协同落地。</w:t>
      </w:r>
    </w:p>
    <w:p w14:paraId="1100C195">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7203CE22">
      <w:pPr>
        <w:keepNext w:val="0"/>
        <w:keepLines w:val="0"/>
        <w:pageBreakBefore w:val="0"/>
        <w:widowControl w:val="0"/>
        <w:numPr>
          <w:ilvl w:val="0"/>
          <w:numId w:val="1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探究碳减排与生态产品价值融合发展机制，厘清“降碳增绿、以碳生金、减碳惠民”三类发展模式的实施逻辑与运行路径。</w:t>
      </w:r>
    </w:p>
    <w:p w14:paraId="79CBED4C">
      <w:pPr>
        <w:keepNext w:val="0"/>
        <w:keepLines w:val="0"/>
        <w:pageBreakBefore w:val="0"/>
        <w:widowControl w:val="0"/>
        <w:numPr>
          <w:ilvl w:val="0"/>
          <w:numId w:val="1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构建碳减排效益与生态产品价值协同评估指标体系，选取长江流域生态功能区、碳汇交易、绿色金融试点开展实证测算，量化区域协同发展指数。</w:t>
      </w:r>
    </w:p>
    <w:p w14:paraId="34338939">
      <w:pPr>
        <w:keepNext w:val="0"/>
        <w:keepLines w:val="0"/>
        <w:pageBreakBefore w:val="0"/>
        <w:widowControl w:val="0"/>
        <w:numPr>
          <w:ilvl w:val="0"/>
          <w:numId w:val="1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深度剖析协同成效突出区域典型案例，分别解构生态产业、碳汇绿色金融、惠民利益共享三类落地模式的运作逻辑。</w:t>
      </w:r>
    </w:p>
    <w:p w14:paraId="28F408FD">
      <w:pPr>
        <w:keepNext w:val="0"/>
        <w:keepLines w:val="0"/>
        <w:pageBreakBefore w:val="0"/>
        <w:widowControl w:val="0"/>
        <w:numPr>
          <w:ilvl w:val="0"/>
          <w:numId w:val="17"/>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从制度设计、碳市场运营、绿色技术、多方协同治理层面总结创新实践，提炼通用推广模式，为统筹推进碳达峰与生态惠民、实现共同富裕提供政策决策支撑。</w:t>
      </w:r>
    </w:p>
    <w:p w14:paraId="1B3E37BB">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0E73434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3.以中国人民大学长江经济带研究院为署名单位，在省部级及以上媒体发表与课题主题（即：长江经济带或长江流域）相关文章1篇。</w:t>
      </w:r>
    </w:p>
    <w:p w14:paraId="6C0E8FAC">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586A700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509878BE">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从“出圈”到“长红”：智能传播时代长江上游城市群文旅品牌的可持续传播与价值转化研究（1.5万元经费预算）</w:t>
      </w:r>
    </w:p>
    <w:p w14:paraId="07B7A43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习近平总书记多次强调要讲好中国故事、传播好中国声音，并在推动长江经济带发展的系列重要讲话中明确提出要保护传承弘扬长江文化，延续历史文脉，坚定文化自信。2026年适逢《长江经济带发展规划纲要》实施十周年，长江上游成渝城市群文旅资源富集，但短视频网红城市普遍存在流量短期爆发、后续快速衰退的痛点，短期流量难以沉淀为长效品牌价值。流域内头部城市流量虹吸效应显著，宜宾、阆中等中小城市坐拥特色非遗、民俗、生态资源，却受平台算法分发限制，线上传播声量与资源禀赋严重错配，难以抓住入境游复苏机遇对外展示中华文明。现有研究多聚焦头部网红城市个案，缺少对热度衰减规律、平台算法差异化影响的系统分析，适配中小城市的长效数字传播策略较为匮乏。在此背景下，本研究聚焦长江上游城市群，破解流量转化、区域传播失衡难题，为流域城市文旅品牌可持续发展与中华文化国际传播提供支撑。</w:t>
      </w:r>
    </w:p>
    <w:p w14:paraId="33E35CE6">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42A6CACA">
      <w:pPr>
        <w:keepNext w:val="0"/>
        <w:keepLines w:val="0"/>
        <w:pageBreakBefore w:val="0"/>
        <w:widowControl w:val="0"/>
        <w:numPr>
          <w:ilvl w:val="0"/>
          <w:numId w:val="1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绘制长江上游城市群文旅传播算法可见性图谱。采集抖音、小红书等平台三年文旅内容，依托计算传播学构建CTAVI指数，量化测算各城市算法曝光水平，聚焦宜宾等中小城市，厘清区域文旅传播分层格局与数字鸿沟现状。</w:t>
      </w:r>
    </w:p>
    <w:p w14:paraId="31EF0505">
      <w:pPr>
        <w:keepNext w:val="0"/>
        <w:keepLines w:val="0"/>
        <w:pageBreakBefore w:val="0"/>
        <w:widowControl w:val="0"/>
        <w:numPr>
          <w:ilvl w:val="0"/>
          <w:numId w:val="1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诊断中小城市文旅传播效能与流量转化水平。选取3—5座典型中小城市，借助时间序列刻画文旅内容完整热度生命周期，对比不同内容类型传播留存差异；结合客流、旅游收入等经济数据，测算流量向文旅消费的转化效率，定位流量变现制约瓶颈。</w:t>
      </w:r>
    </w:p>
    <w:p w14:paraId="49718476">
      <w:pPr>
        <w:keepNext w:val="0"/>
        <w:keepLines w:val="0"/>
        <w:pageBreakBefore w:val="0"/>
        <w:widowControl w:val="0"/>
        <w:numPr>
          <w:ilvl w:val="0"/>
          <w:numId w:val="1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搭建城市文旅品牌可持续传播理论模型。依托VCR三维分析框架，对比短期爆红与长效运营城市传播路径，辅以深度访谈与数字民族志，从算法权重、内容共创、社群关系三层拆解可持续传播内在机理，构建兼具传播运行、经济与文化价值转化的完整理论模型。</w:t>
      </w:r>
    </w:p>
    <w:p w14:paraId="078A9F12">
      <w:pPr>
        <w:keepNext w:val="0"/>
        <w:keepLines w:val="0"/>
        <w:pageBreakBefore w:val="0"/>
        <w:widowControl w:val="0"/>
        <w:numPr>
          <w:ilvl w:val="0"/>
          <w:numId w:val="18"/>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提出适配“十五五”的中小城市文旅品牌提升对策。依据理论模型，从算法运营、城市文化IP打造、成渝区域协同、海外平台国际传播、AI内容赋能五大维度制定成套策略，配套落地路径、责任划分与量化考核指标，为长江上游文旅增收、城市国际形象提升提供政策参考。</w:t>
      </w:r>
    </w:p>
    <w:p w14:paraId="4D02E5D9">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7AFF832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3.以中国人民大学长江经济带研究院为署名单位，在省部级及以上媒体发表与课题主题（即：长江经济带或长江上游）相关文章1篇。</w:t>
      </w:r>
    </w:p>
    <w:p w14:paraId="47A0F094">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94B961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03287A5E">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数字经济驱动长江经济带绿色技术进步的路径与政策研究（1.5万元经费预算）</w:t>
      </w:r>
    </w:p>
    <w:p w14:paraId="417D197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党的二十大、“十五五”规划统筹部署数字经济与绿色低碳协同转型，长江经济带坚持“共抓大保护、不搞大开发”，叠加《长江保护法》、制造业绿色数字化等系列政策，为数字赋能绿色技术创新搭建制度框架。长江经济带经济体量占全国近半数，是绿色转型核心区域，但沿线重化产业占比高、绿色技术供给不足、碳排放压力突出，且数字经济东中西部分化显著，数字赋能绿色技术的潜力未充分释放。现有政策仅明确转型方向，仍存在三大现实短板：数字驱动绿色技术的内在传导机制缺少实证支撑，适配上中下游梯度差异的差异化政策供给不足，数字赋能生效的产业、区域边界条件尚不清晰，政策资源难以精准落地。基于此，本研究围绕数字经济能否赋能绿色技术、作用路径、区域异质性三大核心问题搭建理论框架并实证检验，为“十五五”长江流域数字化绿色化协同发展提供差异化决策方案。</w:t>
      </w:r>
    </w:p>
    <w:p w14:paraId="7834574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559EE50C">
      <w:pPr>
        <w:keepNext w:val="0"/>
        <w:keepLines w:val="0"/>
        <w:pageBreakBefore w:val="0"/>
        <w:widowControl w:val="0"/>
        <w:numPr>
          <w:ilvl w:val="0"/>
          <w:numId w:val="1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构建理论分析框架。基于有向技术变革理论，从要素替代、创新激励、结构优化三方面阐释数字经济赋能绿色偏向型技术进步的内在机理，搭建多维度逻辑模型并提出相关研究假设。</w:t>
      </w:r>
    </w:p>
    <w:p w14:paraId="0522C8B8">
      <w:pPr>
        <w:keepNext w:val="0"/>
        <w:keepLines w:val="0"/>
        <w:pageBreakBefore w:val="0"/>
        <w:widowControl w:val="0"/>
        <w:numPr>
          <w:ilvl w:val="0"/>
          <w:numId w:val="1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科学测度核心变量。依托嵌套CES生产函数精准测算绿色偏向型技术进步水平，从数字基建、数字产业、产业数字化、数字创新多维度构建数字经济发展评价指数，保证测度客观可比。</w:t>
      </w:r>
    </w:p>
    <w:p w14:paraId="0F128094">
      <w:pPr>
        <w:keepNext w:val="0"/>
        <w:keepLines w:val="0"/>
        <w:pageBreakBefore w:val="0"/>
        <w:widowControl w:val="0"/>
        <w:numPr>
          <w:ilvl w:val="0"/>
          <w:numId w:val="1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开展多维度实证检验。利用长江经济带108城面板数据，结合工具变量、机器学习等方法解决内生性问题，分解传导路径贡献，检验区域异质性、空间溢出与门槛非线性效应。</w:t>
      </w:r>
    </w:p>
    <w:p w14:paraId="18AC4736">
      <w:pPr>
        <w:keepNext w:val="0"/>
        <w:keepLines w:val="0"/>
        <w:pageBreakBefore w:val="0"/>
        <w:widowControl w:val="0"/>
        <w:numPr>
          <w:ilvl w:val="0"/>
          <w:numId w:val="1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量化评估政策体系。收集整理沿江省市相关政策文本，运用LDA主题模型挖掘政策特征，构建政策评价指数，识别数字赋能绿色转型的政策短板与制度梗阻。</w:t>
      </w:r>
    </w:p>
    <w:p w14:paraId="78622E7E">
      <w:pPr>
        <w:keepNext w:val="0"/>
        <w:keepLines w:val="0"/>
        <w:pageBreakBefore w:val="0"/>
        <w:widowControl w:val="0"/>
        <w:numPr>
          <w:ilvl w:val="0"/>
          <w:numId w:val="19"/>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提出差异化优化对策。结合长江上中下游发展差异，分别针对性设计下游示范引领、中游产业改造、上游生态数字赋能的发展路径，形成适配“十五五”时期的精准政策方案与决策参考。</w:t>
      </w:r>
    </w:p>
    <w:p w14:paraId="42487359">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60FC9FF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6F4DD055">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259C8AB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2F507B5F">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人工智能赋能长江经济带生态环境治理的应用场景与政策机制研究（1.5万元经费预算）</w:t>
      </w:r>
    </w:p>
    <w:p w14:paraId="6423164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数字中国、生态文明建设、长江经济带高质量发展是国家顶层重大战略，《长江保护法》、长江保护修复攻坚战行动方案明确提出以数字化、智能化手段提升流域环境治理现代化水平，“十五五”规划进一步要求依托人工智能完善全域生态监测、跨区域协同管控体系。长江经济带横跨十一省市，污染源类型复杂、跨域污染风险突出，传统环境监管存在监测滞后、执法效率低、跨界协同难等短板，人工智能成为破解流域治理难题的关键新动能。当前各地智慧环保建设进度分化，智能技术落地存在数据壁垒、区域联动薄弱、技术产业化不足、配套机制缺位等现实阻碍，缺少统一分析框架量化评估全域应用成效，适配流域一体化治理的落地模式与优化路径尚不清晰。立足多重国家战略导向，本研究围绕人工智能多场景环保应用开展系统分析、实证评估与路径优化，为长江流域智慧生态治理提供支撑。</w:t>
      </w:r>
    </w:p>
    <w:p w14:paraId="2D615C1E">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36438D76">
      <w:pPr>
        <w:keepNext w:val="0"/>
        <w:keepLines w:val="0"/>
        <w:pageBreakBefore w:val="0"/>
        <w:widowControl w:val="0"/>
        <w:numPr>
          <w:ilvl w:val="0"/>
          <w:numId w:val="2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梳理人工智能在长江流域环保多场景应用现状，搭建包含技术赋能、数据底座、平台协同、治理成效四维的理论分析框架。</w:t>
      </w:r>
    </w:p>
    <w:p w14:paraId="7A1529DF">
      <w:pPr>
        <w:keepNext w:val="0"/>
        <w:keepLines w:val="0"/>
        <w:pageBreakBefore w:val="0"/>
        <w:widowControl w:val="0"/>
        <w:numPr>
          <w:ilvl w:val="0"/>
          <w:numId w:val="2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选取上中下游典型区域，围绕智慧平台、大数据整合、跨界联防、智能监管、智能决策维度，测算AI环境治理实施成效并对比区域差异化特征。</w:t>
      </w:r>
    </w:p>
    <w:p w14:paraId="42B01033">
      <w:pPr>
        <w:keepNext w:val="0"/>
        <w:keepLines w:val="0"/>
        <w:pageBreakBefore w:val="0"/>
        <w:widowControl w:val="0"/>
        <w:numPr>
          <w:ilvl w:val="0"/>
          <w:numId w:val="2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选取治理成效突出标杆案例，从技术落地、场景运营、跨域协同、配套政策层面总结实践经验，提炼可全域推广的智慧环保发展模式。</w:t>
      </w:r>
    </w:p>
    <w:p w14:paraId="18A9ABCC">
      <w:pPr>
        <w:keepNext w:val="0"/>
        <w:keepLines w:val="0"/>
        <w:pageBreakBefore w:val="0"/>
        <w:widowControl w:val="0"/>
        <w:numPr>
          <w:ilvl w:val="0"/>
          <w:numId w:val="2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对标“十五五”流域生态治理现代化目标，系统梳理AI赋能环保现存数据割裂、协同不足、技术转化弱、制度不完善等现实瓶颈。</w:t>
      </w:r>
    </w:p>
    <w:p w14:paraId="5396BDC4">
      <w:pPr>
        <w:keepNext w:val="0"/>
        <w:keepLines w:val="0"/>
        <w:pageBreakBefore w:val="0"/>
        <w:widowControl w:val="0"/>
        <w:numPr>
          <w:ilvl w:val="0"/>
          <w:numId w:val="2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围绕技术融合、数据共享、跨区域联动、制度完善等维度提出成套对策，推动人工智能深度融入长江经济带全域生态环境治理。</w:t>
      </w:r>
    </w:p>
    <w:p w14:paraId="0E7CAA43">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076B382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3.以中国人民大学长江经济带研究院为署名单位，在省部级及以上媒体发表与课题主题（即：长江经济带）相关文章1篇。</w:t>
      </w:r>
    </w:p>
    <w:p w14:paraId="0B490C54">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611AF58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4AC1E642">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420" w:firstLineChars="0"/>
        <w:jc w:val="both"/>
        <w:textAlignment w:val="auto"/>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城市更新中的集体行动困境与治理效能提升研究—以四川省为例（1.5万元经费预算）</w:t>
      </w:r>
    </w:p>
    <w:p w14:paraId="35729FF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研究背景：</w:t>
      </w:r>
      <w:r>
        <w:rPr>
          <w:rFonts w:hint="eastAsia" w:ascii="Times New Roman" w:hAnsi="Times New Roman" w:eastAsia="仿宋" w:cs="Times New Roman"/>
          <w:color w:val="auto"/>
          <w:kern w:val="0"/>
          <w:sz w:val="32"/>
          <w:szCs w:val="32"/>
          <w:lang w:val="en-US" w:eastAsia="zh-CN" w:bidi="ar-SA"/>
        </w:rPr>
        <w:t>我国城镇化迈入存量提质新阶段，城市更新成为优化城市空间、增进民生福祉、提升基层治理水平的核心抓手。区别于传统开发建设，城市更新涵盖老旧小区、老旧厂区改造、生态空间修复等多元工程，牵扯政府、市场、社区、居民多方主体利益重构与权责划分，各类主体诉求分歧易引发复杂治理矛盾。四川省地处长江上游，正加快推进新型城镇化，全域持续铺开各类城市更新项目，不断创新更新治理模式，但实践中仍凸显多元主体参与失衡、利益协调机制不完善、资金与要素资源统筹不足、群众协商沟通成本高等突出问题，形成明显集体行动困境，制约更新项目落地效率、治理成效与公共利益落地。现有研究针对省级层面城市更新集体行动矛盾的系统性破解路径较为欠缺。立足新型城镇化、长江上游区域高质量发展相关政策导向，本文以四川省为实证样本，探究城市更新集体行动困境生成逻辑，探寻提升治理效能的可行路径。</w:t>
      </w:r>
    </w:p>
    <w:p w14:paraId="2A088E8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Times New Roman" w:hAnsi="Times New Roman" w:eastAsia="楷体" w:cs="Times New Roman"/>
          <w:b/>
          <w:bCs/>
          <w:color w:val="auto"/>
          <w:kern w:val="0"/>
          <w:sz w:val="32"/>
          <w:szCs w:val="32"/>
          <w:lang w:val="en-US" w:eastAsia="zh-CN" w:bidi="ar-SA"/>
        </w:rPr>
      </w:pPr>
      <w:r>
        <w:rPr>
          <w:rFonts w:hint="eastAsia" w:ascii="Times New Roman" w:hAnsi="Times New Roman" w:eastAsia="楷体" w:cs="Times New Roman"/>
          <w:b/>
          <w:bCs/>
          <w:color w:val="auto"/>
          <w:kern w:val="0"/>
          <w:sz w:val="32"/>
          <w:szCs w:val="32"/>
          <w:lang w:val="en-US" w:eastAsia="zh-CN" w:bidi="ar-SA"/>
        </w:rPr>
        <w:t>研究内容：</w:t>
      </w:r>
    </w:p>
    <w:p w14:paraId="240BBAD0">
      <w:pPr>
        <w:keepNext w:val="0"/>
        <w:keepLines w:val="0"/>
        <w:pageBreakBefore w:val="0"/>
        <w:widowControl w:val="0"/>
        <w:numPr>
          <w:ilvl w:val="0"/>
          <w:numId w:val="2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立足四川省城市更新的政策背景与实践场景，系统梳理城市更新中集体行动困境的现实表征与基本类型识别。</w:t>
      </w:r>
    </w:p>
    <w:p w14:paraId="5376959B">
      <w:pPr>
        <w:keepNext w:val="0"/>
        <w:keepLines w:val="0"/>
        <w:pageBreakBefore w:val="0"/>
        <w:widowControl w:val="0"/>
        <w:numPr>
          <w:ilvl w:val="0"/>
          <w:numId w:val="2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运用集体行动理论、制度分析和协同治理理论，探究城市更新中集体行动困境的生成机制及其影响因素分析。</w:t>
      </w:r>
    </w:p>
    <w:p w14:paraId="09BD5145">
      <w:pPr>
        <w:keepNext w:val="0"/>
        <w:keepLines w:val="0"/>
        <w:pageBreakBefore w:val="0"/>
        <w:widowControl w:val="0"/>
        <w:numPr>
          <w:ilvl w:val="0"/>
          <w:numId w:val="2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进一步分析集体行动困境对城市更新治理效能的影响机制。通过对不同城市、不同片区、不同项目类型的比较研究，揭示在相似政策导向下产生治理绩效差异的深层原因，重点分析制度安排、组织协调能力与基层治理基础在其中所发挥的关键作用，从而为治理效能提升提供经验依据。</w:t>
      </w:r>
    </w:p>
    <w:p w14:paraId="1728F1BE">
      <w:pPr>
        <w:keepNext w:val="0"/>
        <w:keepLines w:val="0"/>
        <w:pageBreakBefore w:val="0"/>
        <w:widowControl w:val="0"/>
        <w:numPr>
          <w:ilvl w:val="0"/>
          <w:numId w:val="2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基于前述现实识别、机制分析和效能评估，围绕四川省城市更新实践中面临的重点难点问题，从制度供给、组织协同、公众参与、利益平衡和绩效管理等方面提出系统性优化方案。进一步总结四川省城市更新实践中具有示范意义的经验做法，提炼具有区域推广价值的治理模式，为提升城市更新治理现代化水平、推动四川省城市高质量发展提供决策参考。</w:t>
      </w:r>
    </w:p>
    <w:p w14:paraId="0D30A65A">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ascii="Times New Roman" w:hAnsi="Times New Roman" w:eastAsia="楷体" w:cs="Times New Roman"/>
          <w:b/>
          <w:bCs/>
          <w:color w:val="auto"/>
          <w:kern w:val="0"/>
          <w:sz w:val="32"/>
          <w:szCs w:val="32"/>
        </w:rPr>
      </w:pPr>
      <w:r>
        <w:rPr>
          <w:rFonts w:hint="eastAsia" w:ascii="Times New Roman" w:hAnsi="Times New Roman" w:eastAsia="楷体" w:cs="Times New Roman"/>
          <w:b/>
          <w:bCs/>
          <w:color w:val="auto"/>
          <w:kern w:val="0"/>
          <w:sz w:val="32"/>
          <w:szCs w:val="32"/>
          <w:lang w:val="en-US" w:eastAsia="zh-CN"/>
        </w:rPr>
        <w:t>结项</w:t>
      </w:r>
      <w:r>
        <w:rPr>
          <w:rFonts w:ascii="Times New Roman" w:hAnsi="Times New Roman" w:eastAsia="楷体" w:cs="Times New Roman"/>
          <w:b/>
          <w:bCs/>
          <w:color w:val="auto"/>
          <w:kern w:val="0"/>
          <w:sz w:val="32"/>
          <w:szCs w:val="32"/>
        </w:rPr>
        <w:t>成果</w:t>
      </w:r>
      <w:r>
        <w:rPr>
          <w:rFonts w:hint="eastAsia" w:ascii="Times New Roman" w:hAnsi="Times New Roman" w:eastAsia="楷体" w:cs="Times New Roman"/>
          <w:b/>
          <w:bCs/>
          <w:color w:val="auto"/>
          <w:kern w:val="0"/>
          <w:sz w:val="32"/>
          <w:szCs w:val="32"/>
          <w:lang w:val="en-US" w:eastAsia="zh-CN"/>
        </w:rPr>
        <w:t>要求</w:t>
      </w:r>
      <w:r>
        <w:rPr>
          <w:rFonts w:ascii="Times New Roman" w:hAnsi="Times New Roman" w:eastAsia="楷体" w:cs="Times New Roman"/>
          <w:b/>
          <w:bCs/>
          <w:color w:val="auto"/>
          <w:kern w:val="0"/>
          <w:sz w:val="32"/>
          <w:szCs w:val="32"/>
        </w:rPr>
        <w:t>：</w:t>
      </w:r>
    </w:p>
    <w:p w14:paraId="3AD4714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1.逐项对应研究内容，高质量形成1.5万字及以上（含3000字摘要）的深度研究报告；2.以中国人民大学长江经济带研究院（或课题项目）为署名单位提交</w:t>
      </w:r>
      <w:r>
        <w:rPr>
          <w:rFonts w:ascii="Times New Roman" w:hAnsi="Times New Roman" w:eastAsia="仿宋" w:cs="Times New Roman"/>
          <w:color w:val="auto"/>
          <w:kern w:val="0"/>
          <w:sz w:val="32"/>
          <w:szCs w:val="32"/>
          <w:lang w:val="en-US" w:eastAsia="zh-CN" w:bidi="ar-SA"/>
        </w:rPr>
        <w:t>咨政内参</w:t>
      </w:r>
      <w:r>
        <w:rPr>
          <w:rFonts w:hint="eastAsia" w:ascii="Times New Roman" w:hAnsi="Times New Roman" w:eastAsia="仿宋" w:cs="Times New Roman"/>
          <w:color w:val="auto"/>
          <w:kern w:val="0"/>
          <w:sz w:val="32"/>
          <w:szCs w:val="32"/>
          <w:lang w:val="en-US" w:eastAsia="zh-CN" w:bidi="ar-SA"/>
        </w:rPr>
        <w:t>1</w:t>
      </w:r>
      <w:r>
        <w:rPr>
          <w:rFonts w:ascii="Times New Roman" w:hAnsi="Times New Roman" w:eastAsia="仿宋" w:cs="Times New Roman"/>
          <w:color w:val="auto"/>
          <w:kern w:val="0"/>
          <w:sz w:val="32"/>
          <w:szCs w:val="32"/>
          <w:lang w:val="en-US" w:eastAsia="zh-CN" w:bidi="ar-SA"/>
        </w:rPr>
        <w:t>篇</w:t>
      </w:r>
      <w:r>
        <w:rPr>
          <w:rFonts w:hint="eastAsia" w:ascii="Times New Roman" w:hAnsi="Times New Roman" w:eastAsia="仿宋" w:cs="Times New Roman"/>
          <w:color w:val="auto"/>
          <w:kern w:val="0"/>
          <w:sz w:val="32"/>
          <w:szCs w:val="32"/>
          <w:lang w:val="en-US" w:eastAsia="zh-CN" w:bidi="ar-SA"/>
        </w:rPr>
        <w:t>（若有</w:t>
      </w:r>
      <w:r>
        <w:rPr>
          <w:rFonts w:ascii="Times New Roman" w:hAnsi="Times New Roman" w:eastAsia="仿宋" w:cs="Times New Roman"/>
          <w:color w:val="auto"/>
          <w:kern w:val="0"/>
          <w:sz w:val="32"/>
          <w:szCs w:val="32"/>
          <w:lang w:val="en-US" w:eastAsia="zh-CN" w:bidi="ar-SA"/>
        </w:rPr>
        <w:t>获得</w:t>
      </w:r>
      <w:r>
        <w:rPr>
          <w:rFonts w:hint="eastAsia" w:ascii="Times New Roman" w:hAnsi="Times New Roman" w:eastAsia="仿宋" w:cs="Times New Roman"/>
          <w:color w:val="auto"/>
          <w:kern w:val="0"/>
          <w:sz w:val="32"/>
          <w:szCs w:val="32"/>
          <w:lang w:val="en-US" w:eastAsia="zh-CN" w:bidi="ar-SA"/>
        </w:rPr>
        <w:t>省部级</w:t>
      </w:r>
      <w:r>
        <w:rPr>
          <w:rFonts w:ascii="Times New Roman" w:hAnsi="Times New Roman" w:eastAsia="仿宋" w:cs="Times New Roman"/>
          <w:color w:val="auto"/>
          <w:kern w:val="0"/>
          <w:sz w:val="32"/>
          <w:szCs w:val="32"/>
          <w:lang w:val="en-US" w:eastAsia="zh-CN" w:bidi="ar-SA"/>
        </w:rPr>
        <w:t>及以上批示</w:t>
      </w:r>
      <w:r>
        <w:rPr>
          <w:rFonts w:hint="eastAsia" w:ascii="Times New Roman" w:hAnsi="Times New Roman" w:eastAsia="仿宋" w:cs="Times New Roman"/>
          <w:color w:val="auto"/>
          <w:kern w:val="0"/>
          <w:sz w:val="32"/>
          <w:szCs w:val="32"/>
          <w:lang w:val="en-US" w:eastAsia="zh-CN" w:bidi="ar-SA"/>
        </w:rPr>
        <w:t>可不受媒体发文限制，优先结项）</w:t>
      </w:r>
      <w:r>
        <w:rPr>
          <w:rFonts w:ascii="Times New Roman" w:hAnsi="Times New Roman" w:eastAsia="仿宋" w:cs="Times New Roman"/>
          <w:color w:val="auto"/>
          <w:kern w:val="0"/>
          <w:sz w:val="32"/>
          <w:szCs w:val="32"/>
          <w:lang w:val="en-US" w:eastAsia="zh-CN" w:bidi="ar-SA"/>
        </w:rPr>
        <w:t>；</w:t>
      </w:r>
      <w:r>
        <w:rPr>
          <w:rFonts w:hint="eastAsia" w:ascii="Times New Roman" w:hAnsi="Times New Roman" w:eastAsia="仿宋" w:cs="Times New Roman"/>
          <w:color w:val="auto"/>
          <w:kern w:val="0"/>
          <w:sz w:val="32"/>
          <w:szCs w:val="32"/>
          <w:lang w:val="en-US" w:eastAsia="zh-CN" w:bidi="ar-SA"/>
        </w:rPr>
        <w:t>3.以中国人民大学长江经济带研究院为署名单位，在省部级及以上媒体发表与课题主题（即：四川或宜宾）相关文章1篇。</w:t>
      </w:r>
    </w:p>
    <w:p w14:paraId="5207BECF">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Times New Roman" w:hAnsi="Times New Roman" w:eastAsia="楷体" w:cs="Times New Roman"/>
          <w:b/>
          <w:bCs/>
          <w:color w:val="auto"/>
          <w:kern w:val="0"/>
          <w:sz w:val="32"/>
          <w:szCs w:val="32"/>
          <w:lang w:val="en-US" w:eastAsia="zh-CN"/>
        </w:rPr>
      </w:pPr>
      <w:r>
        <w:rPr>
          <w:rFonts w:hint="eastAsia" w:ascii="Times New Roman" w:hAnsi="Times New Roman" w:eastAsia="楷体" w:cs="Times New Roman"/>
          <w:b/>
          <w:bCs/>
          <w:color w:val="auto"/>
          <w:kern w:val="0"/>
          <w:sz w:val="32"/>
          <w:szCs w:val="32"/>
          <w:lang w:val="en-US" w:eastAsia="zh-CN"/>
        </w:rPr>
        <w:t>其他要求：</w:t>
      </w:r>
    </w:p>
    <w:p w14:paraId="07CD7C1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r>
        <w:rPr>
          <w:rFonts w:hint="eastAsia" w:ascii="Times New Roman" w:hAnsi="Times New Roman" w:eastAsia="仿宋" w:cs="Times New Roman"/>
          <w:color w:val="auto"/>
          <w:kern w:val="0"/>
          <w:sz w:val="32"/>
          <w:szCs w:val="32"/>
          <w:lang w:val="en-US" w:eastAsia="zh-CN" w:bidi="ar-SA"/>
        </w:rPr>
        <w:t>课题立项后，须提交研究进度报告及调研计划；2027年1月31日前提交研究报告初稿，2027年3月进行中期评审，2027年5月完成研究报告结项验收，2027年6月30日前完成全部结项成果指标。</w:t>
      </w:r>
    </w:p>
    <w:p w14:paraId="39FD556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 w:cs="Times New Roman"/>
          <w:color w:val="auto"/>
          <w:kern w:val="0"/>
          <w:sz w:val="32"/>
          <w:szCs w:val="32"/>
          <w:lang w:val="en-US" w:eastAsia="zh-CN" w:bidi="ar-SA"/>
        </w:rPr>
      </w:pPr>
    </w:p>
    <w:p w14:paraId="3FA8E04F"/>
    <w:sectPr>
      <w:footerReference r:id="rId3" w:type="default"/>
      <w:pgSz w:w="11906" w:h="16838"/>
      <w:pgMar w:top="1440" w:right="1474" w:bottom="1440" w:left="1587"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5C120">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2EC3536C">
                          <w:pPr>
                            <w:pStyle w:val="2"/>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N5CO6kIAgAAAQQAAA4AAABkcnMvZTJvRG9jLnhtbK1TzY7TMBC+I/EO&#10;lu80bflboqarZasipIVFWngA13Eai9hjjd0m5QHgDfbEhTvP1efYsZOUZbnsgYs1tsfffN8348V5&#10;Zxq2V+g12ILPJlPOlJVQarst+JfP62dnnPkgbCkasKrgB+X5+fLpk0XrcjWHGppSISMQ6/PWFbwO&#10;weVZ5mWtjPATcMrSZQVoRKAtbrMSRUvopsnm0+mrrAUsHYJU3tPpqr/kAyI+BhCqSku1ArkzyoYe&#10;FVUjAknytXaeLxPbqlIyXFeVV4E1BSelIa1UhOJNXLPlQuRbFK7WcqAgHkPhgSYjtKWiJ6iVCILt&#10;UP8DZbRE8FCFiQST9UKSI6RiNn3gzU0tnEpayGrvTqb7/wcrP+4/IdMlTQJnVhhq+PH2x/Hn7+Ov&#10;72wW7WmdzynrxlFe6N5CF1OjVO+uQH71zMJlLexWXSBCWytREr30Mrv3tMfxEWTTfoCS6ohdgATU&#10;VWgiILnBCJ1aczi1RnWBSTp8efZiTheSbmbP37yeps5lIh/fOvThnQLDYlBwpMYnbLG/8oFUUOqY&#10;EktZWOumSc1v7F8HlBhPEvdItyceuk03eLGB8kAqEPpZop9EQQ34jbOW5qjglr4NZ817Sz7EkRsD&#10;HIPNGAgr6WHBA2d9eBn60dw51NuacEenL8irtU5Coqk9h4ElTUbSN0xxHL37+5T15+cu7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LW7l30AAAAAIBAAAPAAAAAAAAAAEAIAAAACIAAABkcnMvZG93&#10;bnJldi54bWxQSwECFAAUAAAACACHTuJA3kI7qQgCAAABBAAADgAAAAAAAAABACAAAAAfAQAAZHJz&#10;L2Uyb0RvYy54bWxQSwUGAAAAAAYABgBZAQAAmQUAAAAA&#10;">
              <v:fill on="f" focussize="0,0"/>
              <v:stroke on="f"/>
              <v:imagedata o:title=""/>
              <o:lock v:ext="edit" aspectratio="f"/>
              <v:textbox inset="0mm,0mm,0mm,0mm" style="mso-fit-shape-to-text:t;">
                <w:txbxContent>
                  <w:p w14:paraId="2EC3536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D5A6A"/>
    <w:multiLevelType w:val="singleLevel"/>
    <w:tmpl w:val="9BBD5A6A"/>
    <w:lvl w:ilvl="0" w:tentative="0">
      <w:start w:val="1"/>
      <w:numFmt w:val="chineseCounting"/>
      <w:suff w:val="nothing"/>
      <w:lvlText w:val="%1、"/>
      <w:lvlJc w:val="left"/>
      <w:pPr>
        <w:ind w:left="0" w:firstLine="420"/>
      </w:pPr>
      <w:rPr>
        <w:rFonts w:hint="eastAsia"/>
      </w:rPr>
    </w:lvl>
  </w:abstractNum>
  <w:abstractNum w:abstractNumId="1">
    <w:nsid w:val="A35F9EC9"/>
    <w:multiLevelType w:val="singleLevel"/>
    <w:tmpl w:val="A35F9EC9"/>
    <w:lvl w:ilvl="0" w:tentative="0">
      <w:start w:val="1"/>
      <w:numFmt w:val="decimal"/>
      <w:suff w:val="nothing"/>
      <w:lvlText w:val="%1．"/>
      <w:lvlJc w:val="left"/>
      <w:pPr>
        <w:ind w:left="0" w:firstLine="400"/>
      </w:pPr>
      <w:rPr>
        <w:rFonts w:hint="default"/>
      </w:rPr>
    </w:lvl>
  </w:abstractNum>
  <w:abstractNum w:abstractNumId="2">
    <w:nsid w:val="AE6BBC96"/>
    <w:multiLevelType w:val="singleLevel"/>
    <w:tmpl w:val="AE6BBC96"/>
    <w:lvl w:ilvl="0" w:tentative="0">
      <w:start w:val="1"/>
      <w:numFmt w:val="decimal"/>
      <w:suff w:val="nothing"/>
      <w:lvlText w:val="%1．"/>
      <w:lvlJc w:val="left"/>
      <w:pPr>
        <w:ind w:left="0" w:firstLine="400"/>
      </w:pPr>
      <w:rPr>
        <w:rFonts w:hint="default"/>
      </w:rPr>
    </w:lvl>
  </w:abstractNum>
  <w:abstractNum w:abstractNumId="3">
    <w:nsid w:val="C16D08EA"/>
    <w:multiLevelType w:val="singleLevel"/>
    <w:tmpl w:val="C16D08EA"/>
    <w:lvl w:ilvl="0" w:tentative="0">
      <w:start w:val="1"/>
      <w:numFmt w:val="decimal"/>
      <w:suff w:val="nothing"/>
      <w:lvlText w:val="%1．"/>
      <w:lvlJc w:val="left"/>
      <w:pPr>
        <w:ind w:left="0" w:firstLine="400"/>
      </w:pPr>
      <w:rPr>
        <w:rFonts w:hint="default"/>
      </w:rPr>
    </w:lvl>
  </w:abstractNum>
  <w:abstractNum w:abstractNumId="4">
    <w:nsid w:val="C177006E"/>
    <w:multiLevelType w:val="singleLevel"/>
    <w:tmpl w:val="C177006E"/>
    <w:lvl w:ilvl="0" w:tentative="0">
      <w:start w:val="1"/>
      <w:numFmt w:val="decimal"/>
      <w:suff w:val="nothing"/>
      <w:lvlText w:val="%1．"/>
      <w:lvlJc w:val="left"/>
      <w:pPr>
        <w:ind w:left="0" w:firstLine="400"/>
      </w:pPr>
      <w:rPr>
        <w:rFonts w:hint="default"/>
      </w:rPr>
    </w:lvl>
  </w:abstractNum>
  <w:abstractNum w:abstractNumId="5">
    <w:nsid w:val="CAC3BB4D"/>
    <w:multiLevelType w:val="singleLevel"/>
    <w:tmpl w:val="CAC3BB4D"/>
    <w:lvl w:ilvl="0" w:tentative="0">
      <w:start w:val="1"/>
      <w:numFmt w:val="decimal"/>
      <w:suff w:val="nothing"/>
      <w:lvlText w:val="%1．"/>
      <w:lvlJc w:val="left"/>
      <w:pPr>
        <w:ind w:left="0" w:firstLine="400"/>
      </w:pPr>
      <w:rPr>
        <w:rFonts w:hint="default"/>
      </w:rPr>
    </w:lvl>
  </w:abstractNum>
  <w:abstractNum w:abstractNumId="6">
    <w:nsid w:val="D1E41204"/>
    <w:multiLevelType w:val="singleLevel"/>
    <w:tmpl w:val="D1E41204"/>
    <w:lvl w:ilvl="0" w:tentative="0">
      <w:start w:val="1"/>
      <w:numFmt w:val="decimal"/>
      <w:suff w:val="nothing"/>
      <w:lvlText w:val="%1．"/>
      <w:lvlJc w:val="left"/>
      <w:pPr>
        <w:ind w:left="0" w:firstLine="400"/>
      </w:pPr>
      <w:rPr>
        <w:rFonts w:hint="default"/>
      </w:rPr>
    </w:lvl>
  </w:abstractNum>
  <w:abstractNum w:abstractNumId="7">
    <w:nsid w:val="D6EB32F1"/>
    <w:multiLevelType w:val="singleLevel"/>
    <w:tmpl w:val="D6EB32F1"/>
    <w:lvl w:ilvl="0" w:tentative="0">
      <w:start w:val="1"/>
      <w:numFmt w:val="decimal"/>
      <w:suff w:val="nothing"/>
      <w:lvlText w:val="%1．"/>
      <w:lvlJc w:val="left"/>
      <w:pPr>
        <w:ind w:left="0" w:firstLine="400"/>
      </w:pPr>
      <w:rPr>
        <w:rFonts w:hint="default"/>
      </w:rPr>
    </w:lvl>
  </w:abstractNum>
  <w:abstractNum w:abstractNumId="8">
    <w:nsid w:val="E3F7517D"/>
    <w:multiLevelType w:val="singleLevel"/>
    <w:tmpl w:val="E3F7517D"/>
    <w:lvl w:ilvl="0" w:tentative="0">
      <w:start w:val="1"/>
      <w:numFmt w:val="decimal"/>
      <w:suff w:val="nothing"/>
      <w:lvlText w:val="%1．"/>
      <w:lvlJc w:val="left"/>
      <w:pPr>
        <w:ind w:left="0" w:firstLine="400"/>
      </w:pPr>
      <w:rPr>
        <w:rFonts w:hint="default"/>
      </w:rPr>
    </w:lvl>
  </w:abstractNum>
  <w:abstractNum w:abstractNumId="9">
    <w:nsid w:val="13D164CF"/>
    <w:multiLevelType w:val="singleLevel"/>
    <w:tmpl w:val="13D164CF"/>
    <w:lvl w:ilvl="0" w:tentative="0">
      <w:start w:val="1"/>
      <w:numFmt w:val="decimal"/>
      <w:suff w:val="nothing"/>
      <w:lvlText w:val="%1．"/>
      <w:lvlJc w:val="left"/>
      <w:pPr>
        <w:ind w:left="0" w:firstLine="400"/>
      </w:pPr>
      <w:rPr>
        <w:rFonts w:hint="default"/>
      </w:rPr>
    </w:lvl>
  </w:abstractNum>
  <w:abstractNum w:abstractNumId="10">
    <w:nsid w:val="14B02060"/>
    <w:multiLevelType w:val="singleLevel"/>
    <w:tmpl w:val="14B02060"/>
    <w:lvl w:ilvl="0" w:tentative="0">
      <w:start w:val="1"/>
      <w:numFmt w:val="decimal"/>
      <w:suff w:val="nothing"/>
      <w:lvlText w:val="%1．"/>
      <w:lvlJc w:val="left"/>
      <w:pPr>
        <w:ind w:left="0" w:firstLine="400"/>
      </w:pPr>
      <w:rPr>
        <w:rFonts w:hint="default"/>
      </w:rPr>
    </w:lvl>
  </w:abstractNum>
  <w:abstractNum w:abstractNumId="11">
    <w:nsid w:val="14D50837"/>
    <w:multiLevelType w:val="singleLevel"/>
    <w:tmpl w:val="14D50837"/>
    <w:lvl w:ilvl="0" w:tentative="0">
      <w:start w:val="1"/>
      <w:numFmt w:val="decimal"/>
      <w:suff w:val="nothing"/>
      <w:lvlText w:val="%1．"/>
      <w:lvlJc w:val="left"/>
      <w:pPr>
        <w:ind w:left="0" w:firstLine="400"/>
      </w:pPr>
      <w:rPr>
        <w:rFonts w:hint="default"/>
      </w:rPr>
    </w:lvl>
  </w:abstractNum>
  <w:abstractNum w:abstractNumId="12">
    <w:nsid w:val="16A0310E"/>
    <w:multiLevelType w:val="singleLevel"/>
    <w:tmpl w:val="16A0310E"/>
    <w:lvl w:ilvl="0" w:tentative="0">
      <w:start w:val="1"/>
      <w:numFmt w:val="decimal"/>
      <w:suff w:val="nothing"/>
      <w:lvlText w:val="%1．"/>
      <w:lvlJc w:val="left"/>
      <w:pPr>
        <w:ind w:left="0" w:firstLine="400"/>
      </w:pPr>
      <w:rPr>
        <w:rFonts w:hint="default"/>
      </w:rPr>
    </w:lvl>
  </w:abstractNum>
  <w:abstractNum w:abstractNumId="13">
    <w:nsid w:val="2C04B1D9"/>
    <w:multiLevelType w:val="singleLevel"/>
    <w:tmpl w:val="2C04B1D9"/>
    <w:lvl w:ilvl="0" w:tentative="0">
      <w:start w:val="1"/>
      <w:numFmt w:val="decimal"/>
      <w:suff w:val="nothing"/>
      <w:lvlText w:val="%1．"/>
      <w:lvlJc w:val="left"/>
      <w:pPr>
        <w:ind w:left="0" w:firstLine="400"/>
      </w:pPr>
      <w:rPr>
        <w:rFonts w:hint="default"/>
      </w:rPr>
    </w:lvl>
  </w:abstractNum>
  <w:abstractNum w:abstractNumId="14">
    <w:nsid w:val="41E06276"/>
    <w:multiLevelType w:val="singleLevel"/>
    <w:tmpl w:val="41E06276"/>
    <w:lvl w:ilvl="0" w:tentative="0">
      <w:start w:val="1"/>
      <w:numFmt w:val="decimal"/>
      <w:suff w:val="nothing"/>
      <w:lvlText w:val="%1．"/>
      <w:lvlJc w:val="left"/>
      <w:pPr>
        <w:ind w:left="0" w:firstLine="400"/>
      </w:pPr>
      <w:rPr>
        <w:rFonts w:hint="default"/>
      </w:rPr>
    </w:lvl>
  </w:abstractNum>
  <w:abstractNum w:abstractNumId="15">
    <w:nsid w:val="4213D2DF"/>
    <w:multiLevelType w:val="singleLevel"/>
    <w:tmpl w:val="4213D2DF"/>
    <w:lvl w:ilvl="0" w:tentative="0">
      <w:start w:val="1"/>
      <w:numFmt w:val="decimal"/>
      <w:suff w:val="nothing"/>
      <w:lvlText w:val="%1．"/>
      <w:lvlJc w:val="left"/>
      <w:pPr>
        <w:ind w:left="0" w:firstLine="400"/>
      </w:pPr>
      <w:rPr>
        <w:rFonts w:hint="default"/>
      </w:rPr>
    </w:lvl>
  </w:abstractNum>
  <w:abstractNum w:abstractNumId="16">
    <w:nsid w:val="44F320B4"/>
    <w:multiLevelType w:val="singleLevel"/>
    <w:tmpl w:val="44F320B4"/>
    <w:lvl w:ilvl="0" w:tentative="0">
      <w:start w:val="1"/>
      <w:numFmt w:val="decimal"/>
      <w:suff w:val="nothing"/>
      <w:lvlText w:val="%1．"/>
      <w:lvlJc w:val="left"/>
      <w:pPr>
        <w:ind w:left="0" w:firstLine="400"/>
      </w:pPr>
      <w:rPr>
        <w:rFonts w:hint="default"/>
      </w:rPr>
    </w:lvl>
  </w:abstractNum>
  <w:abstractNum w:abstractNumId="17">
    <w:nsid w:val="52ADA703"/>
    <w:multiLevelType w:val="singleLevel"/>
    <w:tmpl w:val="52ADA703"/>
    <w:lvl w:ilvl="0" w:tentative="0">
      <w:start w:val="1"/>
      <w:numFmt w:val="decimal"/>
      <w:suff w:val="nothing"/>
      <w:lvlText w:val="%1．"/>
      <w:lvlJc w:val="left"/>
      <w:pPr>
        <w:ind w:left="0" w:firstLine="400"/>
      </w:pPr>
      <w:rPr>
        <w:rFonts w:hint="default"/>
      </w:rPr>
    </w:lvl>
  </w:abstractNum>
  <w:abstractNum w:abstractNumId="18">
    <w:nsid w:val="54C92F26"/>
    <w:multiLevelType w:val="singleLevel"/>
    <w:tmpl w:val="54C92F26"/>
    <w:lvl w:ilvl="0" w:tentative="0">
      <w:start w:val="1"/>
      <w:numFmt w:val="decimal"/>
      <w:suff w:val="nothing"/>
      <w:lvlText w:val="%1．"/>
      <w:lvlJc w:val="left"/>
      <w:pPr>
        <w:ind w:left="0" w:firstLine="400"/>
      </w:pPr>
      <w:rPr>
        <w:rFonts w:hint="default"/>
      </w:rPr>
    </w:lvl>
  </w:abstractNum>
  <w:abstractNum w:abstractNumId="19">
    <w:nsid w:val="56D5F10F"/>
    <w:multiLevelType w:val="singleLevel"/>
    <w:tmpl w:val="56D5F10F"/>
    <w:lvl w:ilvl="0" w:tentative="0">
      <w:start w:val="1"/>
      <w:numFmt w:val="decimal"/>
      <w:suff w:val="nothing"/>
      <w:lvlText w:val="%1．"/>
      <w:lvlJc w:val="left"/>
      <w:pPr>
        <w:ind w:left="0" w:firstLine="400"/>
      </w:pPr>
      <w:rPr>
        <w:rFonts w:hint="default"/>
      </w:rPr>
    </w:lvl>
  </w:abstractNum>
  <w:abstractNum w:abstractNumId="20">
    <w:nsid w:val="7A2CB961"/>
    <w:multiLevelType w:val="singleLevel"/>
    <w:tmpl w:val="7A2CB961"/>
    <w:lvl w:ilvl="0" w:tentative="0">
      <w:start w:val="1"/>
      <w:numFmt w:val="decimal"/>
      <w:suff w:val="nothing"/>
      <w:lvlText w:val="%1．"/>
      <w:lvlJc w:val="left"/>
      <w:pPr>
        <w:ind w:left="0" w:firstLine="400"/>
      </w:pPr>
      <w:rPr>
        <w:rFonts w:hint="default"/>
      </w:rPr>
    </w:lvl>
  </w:abstractNum>
  <w:num w:numId="1">
    <w:abstractNumId w:val="0"/>
  </w:num>
  <w:num w:numId="2">
    <w:abstractNumId w:val="13"/>
  </w:num>
  <w:num w:numId="3">
    <w:abstractNumId w:val="10"/>
  </w:num>
  <w:num w:numId="4">
    <w:abstractNumId w:val="3"/>
  </w:num>
  <w:num w:numId="5">
    <w:abstractNumId w:val="18"/>
  </w:num>
  <w:num w:numId="6">
    <w:abstractNumId w:val="15"/>
  </w:num>
  <w:num w:numId="7">
    <w:abstractNumId w:val="6"/>
  </w:num>
  <w:num w:numId="8">
    <w:abstractNumId w:val="16"/>
  </w:num>
  <w:num w:numId="9">
    <w:abstractNumId w:val="19"/>
  </w:num>
  <w:num w:numId="10">
    <w:abstractNumId w:val="4"/>
  </w:num>
  <w:num w:numId="11">
    <w:abstractNumId w:val="11"/>
  </w:num>
  <w:num w:numId="12">
    <w:abstractNumId w:val="8"/>
  </w:num>
  <w:num w:numId="13">
    <w:abstractNumId w:val="9"/>
  </w:num>
  <w:num w:numId="14">
    <w:abstractNumId w:val="7"/>
  </w:num>
  <w:num w:numId="15">
    <w:abstractNumId w:val="2"/>
  </w:num>
  <w:num w:numId="16">
    <w:abstractNumId w:val="1"/>
  </w:num>
  <w:num w:numId="17">
    <w:abstractNumId w:val="12"/>
  </w:num>
  <w:num w:numId="18">
    <w:abstractNumId w:val="14"/>
  </w:num>
  <w:num w:numId="19">
    <w:abstractNumId w:val="20"/>
  </w:num>
  <w:num w:numId="20">
    <w:abstractNumId w:val="1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F71"/>
    <w:rsid w:val="00081C50"/>
    <w:rsid w:val="00383FCE"/>
    <w:rsid w:val="004058E7"/>
    <w:rsid w:val="00494F71"/>
    <w:rsid w:val="00D46104"/>
    <w:rsid w:val="00E92FDE"/>
    <w:rsid w:val="00FA08D6"/>
    <w:rsid w:val="20C16A28"/>
    <w:rsid w:val="59951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0"/>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_Style 7"/>
    <w:basedOn w:val="1"/>
    <w:next w:val="9"/>
    <w:qFormat/>
    <w:uiPriority w:val="0"/>
    <w:pPr>
      <w:ind w:firstLine="420" w:firstLineChars="200"/>
    </w:pPr>
    <w:rPr>
      <w:rFonts w:ascii="Times New Roman" w:hAnsi="Times New Roman"/>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19297</Words>
  <Characters>19824</Characters>
  <Lines>2</Lines>
  <Paragraphs>1</Paragraphs>
  <TotalTime>0</TotalTime>
  <ScaleCrop>false</ScaleCrop>
  <LinksUpToDate>false</LinksUpToDate>
  <CharactersWithSpaces>19824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2025-05-26T07:27:00Z</dcterms:created>
  <dc:creator>宋鹭</dc:creator>
  <cp:lastModifiedBy>小馬</cp:lastModifiedBy>
  <dcterms:modified xsi:type="dcterms:W3CDTF">2026-09-08T02:58:57Z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eyJoZGlkIjoiYjE2M2Y3MWFkMWRlZDExN2U5M2JkMzYxZTEzMThlYTgiLCJ1c2VySWQiOiIyNzY5NTUxODMifQ==</vt:lpwstr>
  </property>
  <property fmtid="{D5CDD505-2E9C-101B-9397-08002B2CF9AE}" pid="3" name="KSOProductBuildVer">
    <vt:lpwstr>2052-12.1.0.28505</vt:lpwstr>
  </property>
  <property fmtid="{D5CDD505-2E9C-101B-9397-08002B2CF9AE}" pid="4" name="ICV">
    <vt:lpwstr>48D7248BCA414B4EB09E8C3AD64DE111_13</vt:lpwstr>
  </property>
</Properties>
</file>