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A2F75">
      <w:pPr>
        <w:widowControl w:val="0"/>
        <w:spacing w:line="560" w:lineRule="exact"/>
        <w:jc w:val="center"/>
        <w:rPr>
          <w:rFonts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中国人民大学长江经济带研究院</w:t>
      </w:r>
    </w:p>
    <w:p w14:paraId="7BCFCA84">
      <w:pPr>
        <w:widowControl w:val="0"/>
        <w:spacing w:after="442" w:afterLines="100" w:line="560" w:lineRule="exact"/>
        <w:jc w:val="center"/>
        <w:rPr>
          <w:rFonts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2026年研究课题指南</w:t>
      </w:r>
    </w:p>
    <w:p w14:paraId="5D1E69AE">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ascii="Times New Roman" w:hAnsi="Times New Roman" w:eastAsia="黑体" w:cs="Times New Roman"/>
          <w:color w:val="auto"/>
          <w:kern w:val="0"/>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城市生活污水管网等公益性环境基础设施投融资机制研究</w:t>
      </w:r>
      <w:r>
        <w:rPr>
          <w:rFonts w:hint="eastAsia" w:ascii="Times New Roman" w:hAnsi="Times New Roman" w:eastAsia="黑体" w:cs="Times New Roman"/>
          <w:color w:val="auto"/>
          <w:kern w:val="0"/>
          <w:sz w:val="32"/>
          <w:szCs w:val="32"/>
          <w:shd w:val="clear" w:color="auto" w:fill="FFFFFF"/>
          <w:lang w:val="en-US" w:eastAsia="zh-CN" w:bidi="ar"/>
        </w:rPr>
        <w:t>（20万元经费预算）</w:t>
      </w:r>
    </w:p>
    <w:p w14:paraId="56C82A6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城市生活污水管网是支撑城市水环境治理、保障人居生态安全的公益性核心基础设施，也是落实生态文明建设、推进城市绿色低碳高质量发展的关键载体。当前我国城镇化持续提质升级，老旧管网老化破损、雨污分流不彻底、管网覆盖不足等问题凸显，污水收集效能偏低，成为制约黑臭水体治理、水环境改善的突出短板，基础设施补短板、提效能的建设需求持续扩大。国家《“十五五”生态环境保护规划》《长江保护法》等多项政策密集出台，明确要求完善城镇环境基础设施投融资体系，补齐沿江污水管网短板，健全市场化可持续投入机制，鼓励拓宽资金渠道、盘活存量资产、引导社会资本参与，为行业改革发展提供了政策指引。但污水管网具备公益性强、投资规模大、建设周期长、收益性弱、运维成本高等典型特征，难以依靠市场化经营实现盈利。长期以来，我国此类设施主要依赖地方财政投入、专项债支撑，投融资模式单一固化。</w:t>
      </w:r>
    </w:p>
    <w:p w14:paraId="501AC39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在地方财政收支压力持续加大、债务管控日趋严格的背景下，传统单一财政投入模式已难以适配大规模管网新建、改造及常态化运维的资金需求，同时存在社会资本参与门槛高、回报机制不健全、风险分担机制不完善、投融资可持续性不足等现实难题，严重制约污水管网基础设施提质增效与长效运营。在此背景下，系统梳理现有投融资模式短板，探索适配污水管网公益性属性、可持续、多元化的投融资机制，破解资金瓶颈、规范投融资运作、健全长效运营体系，对完善城市环境基础设施体系、夯实生态治理根基、推动城市水环境治理常态化、制度化具有重要的理论价值与现实意义。</w:t>
      </w:r>
    </w:p>
    <w:p w14:paraId="24D94B8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35B66E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公益性环境基础设施投融资现状与核心特征研究。聚焦城市生活污水管网设施，系统梳理此类公益性基础设施建设、改造、运维的行业发展现状与建设需求。结合污水管网公益属性、无直接收益、投资规模大、运维周期长等行业特点，深入剖析当前管网建设运维的资金投入规模、资金来源结构及区域建设差异，明确污水管网投融资区别于经营性基建项目的核心特征，为后续机制优化研究奠定现实基础。</w:t>
      </w:r>
    </w:p>
    <w:p w14:paraId="539F5DC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2.现有投融资模式及痛点问题剖析。梳理当前我国城市污水管网建设主流投融资模式的运作逻辑，结合地方财政承压、债务管控收紧的政策背景，重点剖析现有模式存在的渠道单一、社会资本参与度低等核心痛点，精准识别投融资体系中的堵点与短板。</w:t>
      </w:r>
    </w:p>
    <w:p w14:paraId="5AAE7B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3.公益性基础设施投融资相关政策与制度体系梳理。系统梳理国家及地方关于城镇污水管网建设、生态环境基础设施投融资、政府债务管控、社会资本参与基建的系列政策文件与制度规范。总结现有政策的支持导向与约束要求，分析政策落地过程中存在的衔接不畅、激励不足、监管缺位等问题，明确投融资机制创新的政策边界与制度空间。</w:t>
      </w:r>
    </w:p>
    <w:p w14:paraId="1B6A721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4.多元化投融资创新机制构建研究。总结梳理先进地区已有经验做法与典型案例，结合案例实际与现实基础构建适配城市污水管网的多元化投融资体系。重点探索财政资金、专项债、绿色金融、社会资本、存量资产证券化等多元资金的融合运作模式，破解纯公益项目市场化融资难题。</w:t>
      </w:r>
    </w:p>
    <w:p w14:paraId="3F76BD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5.投融资机制落地保障对策研究。结合各地污水管网投融资实践经验与现存问题，提出适配新时代水环境治理要求的投融资落地保障对策，形成可持续投融资体系，为城市污水管网基础设施提质增效提供实操支撑。</w:t>
      </w:r>
    </w:p>
    <w:p w14:paraId="6300183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结项成果要求：</w:t>
      </w:r>
    </w:p>
    <w:p w14:paraId="4D9CA76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1.逐项对应研究内容，高质量形成3万字及以上（含4000字摘要）的深度研究报告；2.以中国人民大学长江经济带研究院（或课题项目）为署名单位</w:t>
      </w:r>
      <w:r>
        <w:rPr>
          <w:rFonts w:ascii="Times New Roman" w:hAnsi="Times New Roman" w:eastAsia="仿宋" w:cs="Times New Roman"/>
          <w:color w:val="auto"/>
          <w:kern w:val="0"/>
          <w:sz w:val="32"/>
          <w:szCs w:val="32"/>
          <w:lang w:val="en-US" w:eastAsia="zh-CN" w:bidi="ar-SA"/>
        </w:rPr>
        <w:t>形成咨政内参</w:t>
      </w:r>
      <w:r>
        <w:rPr>
          <w:rFonts w:hint="eastAsia" w:ascii="Times New Roman" w:hAnsi="Times New Roman" w:eastAsia="仿宋" w:cs="Times New Roman"/>
          <w:color w:val="auto"/>
          <w:kern w:val="0"/>
          <w:sz w:val="32"/>
          <w:szCs w:val="32"/>
          <w:lang w:val="en-US" w:eastAsia="zh-CN" w:bidi="ar-SA"/>
        </w:rPr>
        <w:t>2</w:t>
      </w:r>
      <w:r>
        <w:rPr>
          <w:rFonts w:ascii="Times New Roman" w:hAnsi="Times New Roman" w:eastAsia="仿宋" w:cs="Times New Roman"/>
          <w:color w:val="auto"/>
          <w:kern w:val="0"/>
          <w:sz w:val="32"/>
          <w:szCs w:val="32"/>
          <w:lang w:val="en-US" w:eastAsia="zh-CN" w:bidi="ar-SA"/>
        </w:rPr>
        <w:t>篇，获得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及以上批示1次；</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w:t>
      </w:r>
      <w:r>
        <w:rPr>
          <w:rFonts w:hint="eastAsia" w:ascii="Times New Roman" w:hAnsi="Times New Roman" w:eastAsia="仿宋" w:cs="Times New Roman"/>
          <w:b w:val="0"/>
          <w:bCs w:val="0"/>
          <w:color w:val="auto"/>
          <w:kern w:val="0"/>
          <w:sz w:val="32"/>
          <w:szCs w:val="32"/>
          <w:lang w:val="en-US" w:eastAsia="zh-CN" w:bidi="ar-SA"/>
        </w:rPr>
        <w:t>（即：长江经济带）</w:t>
      </w:r>
      <w:r>
        <w:rPr>
          <w:rFonts w:hint="eastAsia" w:ascii="Times New Roman" w:hAnsi="Times New Roman" w:eastAsia="仿宋" w:cs="Times New Roman"/>
          <w:color w:val="auto"/>
          <w:kern w:val="0"/>
          <w:sz w:val="32"/>
          <w:szCs w:val="32"/>
          <w:lang w:val="en-US" w:eastAsia="zh-CN" w:bidi="ar-SA"/>
        </w:rPr>
        <w:t>相关文章2篇。</w:t>
      </w:r>
    </w:p>
    <w:p w14:paraId="670AC8B7">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其他要求：</w:t>
      </w:r>
    </w:p>
    <w:p w14:paraId="1D9D3D8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实地调研1次以上；2027年1月31日前提交研究报告初稿，2027年3月进行中期评审，2027年5月完成研究报告结项验收，2027年6月30日前完成全部结项成果指标。</w:t>
      </w:r>
    </w:p>
    <w:p w14:paraId="62F0A05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p>
    <w:p w14:paraId="14B1B32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p>
    <w:p w14:paraId="253C0940">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当前长江流域水生态恢复面临的难点问题及解决路径研究</w:t>
      </w:r>
      <w:r>
        <w:rPr>
          <w:rFonts w:hint="eastAsia" w:ascii="Times New Roman" w:hAnsi="Times New Roman" w:eastAsia="黑体" w:cs="Times New Roman"/>
          <w:color w:val="auto"/>
          <w:kern w:val="0"/>
          <w:sz w:val="32"/>
          <w:szCs w:val="32"/>
          <w:shd w:val="clear" w:color="auto" w:fill="FFFFFF"/>
          <w:lang w:val="en-US" w:eastAsia="zh-CN" w:bidi="ar"/>
        </w:rPr>
        <w:t>（20万元经费预算）</w:t>
      </w:r>
    </w:p>
    <w:p w14:paraId="7E0C46C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Times New Roman" w:hAnsi="Times New Roman" w:eastAsia="楷体"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习近平生态文明思想明确长江“共抓大保护、不搞大开发”核心定位，《长江保护法》、长江保护修复攻坚战方案、“十五五”规划持续部署流域水生态系统完整性修复工作。长江实施十年禁渔以来水质稳步改善，但水生态恢复仍处于爬坡阶段，面临多重复合型难点：梯级水库阻隔江湖连通、珍稀水生生物种群恢复缓慢；城乡面源、化工、船舶多重污染叠加，治理成效易反弹；上中下游发展梯度悬殊，跨区域协同管护、生态补偿机制落地不畅；生态流量调度、栖息地修复、监测评估体系存在短板，修复技术与差异化治理路径供给不足。现有研究多聚焦单一污染或局部河段，未系统整合全域修复堵点、缺少分层分类落地路径。立足流域治理现代化需求，本研究系统研判水生态恢复核心难点，分区域、分类型构建针对性解决路径，为“十五五”长江全域水生态长效修复提供理论支撑与实操方案。</w:t>
      </w:r>
    </w:p>
    <w:p w14:paraId="0799CC3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76C761A5">
      <w:pPr>
        <w:keepNext w:val="0"/>
        <w:keepLines w:val="0"/>
        <w:pageBreakBefore w:val="0"/>
        <w:widowControl/>
        <w:numPr>
          <w:ilvl w:val="-1"/>
          <w:numId w:val="0"/>
        </w:numPr>
        <w:kinsoku/>
        <w:wordWrap/>
        <w:overflowPunct/>
        <w:topLinePunct w:val="0"/>
        <w:autoSpaceDE/>
        <w:autoSpaceDN/>
        <w:bidi w:val="0"/>
        <w:adjustRightInd/>
        <w:snapToGrid/>
        <w:spacing w:after="0" w:line="560" w:lineRule="exact"/>
        <w:ind w:left="0" w:leftChars="0"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系统诊断长江流域水生态恢复多层级难点。从水文连通、生物多样性、复合污染、跨域治理、制度保障五大维度，梳理上中下游、河湖、库区差异化制约瓶颈，量化识别生境破碎、物种衰退、协同机制失灵等核心问题。</w:t>
      </w:r>
    </w:p>
    <w:p w14:paraId="35C5AD56">
      <w:pPr>
        <w:widowControl/>
        <w:numPr>
          <w:ilvl w:val="0"/>
          <w:numId w:val="0"/>
        </w:numPr>
        <w:spacing w:after="0" w:line="560" w:lineRule="exact"/>
        <w:ind w:firstLine="640" w:firstLineChars="200"/>
        <w:jc w:val="left"/>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2.构建流域水生态恢复综合评估体系。整合水文、水质、水生生物、人类活动指标，测算全域水生态完整性指数，分区研判修复短板与阶段修复缺口。</w:t>
      </w:r>
    </w:p>
    <w:p w14:paraId="3F53AE30">
      <w:pPr>
        <w:keepNext w:val="0"/>
        <w:keepLines w:val="0"/>
        <w:pageBreakBefore w:val="0"/>
        <w:widowControl/>
        <w:numPr>
          <w:ilvl w:val="-1"/>
          <w:numId w:val="0"/>
        </w:numPr>
        <w:kinsoku/>
        <w:wordWrap/>
        <w:overflowPunct/>
        <w:topLinePunct w:val="0"/>
        <w:autoSpaceDE/>
        <w:autoSpaceDN/>
        <w:bidi w:val="0"/>
        <w:adjustRightInd/>
        <w:snapToGrid/>
        <w:spacing w:after="0" w:line="560" w:lineRule="exact"/>
        <w:ind w:left="0" w:leftChars="0"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3.分类拆解差异化修复技术路径。针对库区、干流、通江湖泊、支流源头四类区域，分别提出生态调度、洄游通道重建、缓冲带修复、面源综合治理等技术方案。</w:t>
      </w:r>
    </w:p>
    <w:p w14:paraId="0EC1BE0C">
      <w:pPr>
        <w:keepNext w:val="0"/>
        <w:keepLines w:val="0"/>
        <w:pageBreakBefore w:val="0"/>
        <w:widowControl/>
        <w:numPr>
          <w:ilvl w:val="-1"/>
          <w:numId w:val="0"/>
        </w:numPr>
        <w:kinsoku/>
        <w:wordWrap/>
        <w:overflowPunct/>
        <w:topLinePunct w:val="0"/>
        <w:autoSpaceDE/>
        <w:autoSpaceDN/>
        <w:bidi w:val="0"/>
        <w:adjustRightInd/>
        <w:snapToGrid/>
        <w:spacing w:after="0" w:line="560" w:lineRule="exact"/>
        <w:ind w:left="0" w:leftChars="0"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4.完善跨区域协同长效治理机制。优化跨界联合执法、生态补偿、河湖长制联动、禁渔长效管护制度，打通修复落地体制堵点。</w:t>
      </w:r>
    </w:p>
    <w:p w14:paraId="15E59486">
      <w:pPr>
        <w:keepNext w:val="0"/>
        <w:keepLines w:val="0"/>
        <w:pageBreakBefore w:val="0"/>
        <w:widowControl/>
        <w:numPr>
          <w:ilvl w:val="-1"/>
          <w:numId w:val="0"/>
        </w:numPr>
        <w:kinsoku/>
        <w:wordWrap/>
        <w:overflowPunct/>
        <w:topLinePunct w:val="0"/>
        <w:autoSpaceDE/>
        <w:autoSpaceDN/>
        <w:bidi w:val="0"/>
        <w:adjustRightInd/>
        <w:snapToGrid/>
        <w:spacing w:after="0" w:line="560" w:lineRule="exact"/>
        <w:ind w:left="0" w:leftChars="0" w:firstLine="640" w:firstLineChars="200"/>
        <w:jc w:val="left"/>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5.形成面向“十五五”的全域综合对策。统筹工程修复、数字监测、产业绿色转型、资金保障，构建分层分区、可落地的水生态恢复实施路径与政策建议。</w:t>
      </w:r>
    </w:p>
    <w:p w14:paraId="2644CDF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结项成果要求：</w:t>
      </w:r>
    </w:p>
    <w:p w14:paraId="5BE180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1.逐项对应研究内容，高质量形成3万字及以上（含4000字摘要）的深度研究报告；2.以中国人民大学长江经济带研究院（或课题项目）为署名单位</w:t>
      </w:r>
      <w:r>
        <w:rPr>
          <w:rFonts w:ascii="Times New Roman" w:hAnsi="Times New Roman" w:eastAsia="仿宋" w:cs="Times New Roman"/>
          <w:color w:val="auto"/>
          <w:kern w:val="0"/>
          <w:sz w:val="32"/>
          <w:szCs w:val="32"/>
          <w:lang w:val="en-US" w:eastAsia="zh-CN" w:bidi="ar-SA"/>
        </w:rPr>
        <w:t>形成咨政内参</w:t>
      </w:r>
      <w:r>
        <w:rPr>
          <w:rFonts w:hint="eastAsia" w:ascii="Times New Roman" w:hAnsi="Times New Roman" w:eastAsia="仿宋" w:cs="Times New Roman"/>
          <w:color w:val="auto"/>
          <w:kern w:val="0"/>
          <w:sz w:val="32"/>
          <w:szCs w:val="32"/>
          <w:lang w:val="en-US" w:eastAsia="zh-CN" w:bidi="ar-SA"/>
        </w:rPr>
        <w:t>2</w:t>
      </w:r>
      <w:r>
        <w:rPr>
          <w:rFonts w:ascii="Times New Roman" w:hAnsi="Times New Roman" w:eastAsia="仿宋" w:cs="Times New Roman"/>
          <w:color w:val="auto"/>
          <w:kern w:val="0"/>
          <w:sz w:val="32"/>
          <w:szCs w:val="32"/>
          <w:lang w:val="en-US" w:eastAsia="zh-CN" w:bidi="ar-SA"/>
        </w:rPr>
        <w:t>篇，获得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及以上批示1次；</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w:t>
      </w:r>
      <w:r>
        <w:rPr>
          <w:rFonts w:hint="eastAsia" w:ascii="Times New Roman" w:hAnsi="Times New Roman" w:eastAsia="仿宋" w:cs="Times New Roman"/>
          <w:b w:val="0"/>
          <w:bCs w:val="0"/>
          <w:color w:val="auto"/>
          <w:kern w:val="0"/>
          <w:sz w:val="32"/>
          <w:szCs w:val="32"/>
          <w:lang w:val="en-US" w:eastAsia="zh-CN" w:bidi="ar-SA"/>
        </w:rPr>
        <w:t>（即：长江经济带）</w:t>
      </w:r>
      <w:r>
        <w:rPr>
          <w:rFonts w:hint="eastAsia" w:ascii="Times New Roman" w:hAnsi="Times New Roman" w:eastAsia="仿宋" w:cs="Times New Roman"/>
          <w:color w:val="auto"/>
          <w:kern w:val="0"/>
          <w:sz w:val="32"/>
          <w:szCs w:val="32"/>
          <w:lang w:val="en-US" w:eastAsia="zh-CN" w:bidi="ar-SA"/>
        </w:rPr>
        <w:t>相关文章2篇。</w:t>
      </w:r>
    </w:p>
    <w:p w14:paraId="2D76103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其他要求：</w:t>
      </w:r>
    </w:p>
    <w:p w14:paraId="27FD49B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实地调研1次以上；2027年1月31日前提交研究报告初稿，2027年3月进行中期评审，2027年5月完成研究报告结项验收，2027年6月30日前完成全部结项成果指标。</w:t>
      </w:r>
    </w:p>
    <w:p w14:paraId="1A40F2B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p>
    <w:p w14:paraId="79C8578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p>
    <w:p w14:paraId="1B085898">
      <w:pPr>
        <w:widowControl w:val="0"/>
        <w:numPr>
          <w:ilvl w:val="0"/>
          <w:numId w:val="1"/>
        </w:numPr>
        <w:adjustRightInd/>
        <w:snapToGrid/>
        <w:spacing w:after="0" w:line="560" w:lineRule="exact"/>
        <w:ind w:firstLine="640" w:firstLineChars="200"/>
        <w:jc w:val="both"/>
        <w:rPr>
          <w:rFonts w:ascii="Times New Roman" w:hAnsi="Times New Roman" w:eastAsia="黑体" w:cs="Times New Roman"/>
          <w:color w:val="auto"/>
          <w:kern w:val="2"/>
          <w:sz w:val="32"/>
          <w:szCs w:val="32"/>
          <w:lang w:val="en-US" w:eastAsia="zh-CN" w:bidi="ar-SA"/>
        </w:rPr>
      </w:pPr>
      <w:r>
        <w:rPr>
          <w:rFonts w:ascii="Times New Roman" w:hAnsi="Times New Roman" w:eastAsia="黑体" w:cs="Times New Roman"/>
          <w:color w:val="auto"/>
          <w:kern w:val="2"/>
          <w:sz w:val="32"/>
          <w:szCs w:val="32"/>
          <w:lang w:val="en-US" w:eastAsia="zh-CN" w:bidi="ar-SA"/>
        </w:rPr>
        <w:t>宜宾</w:t>
      </w:r>
      <w:r>
        <w:rPr>
          <w:rFonts w:hint="eastAsia" w:ascii="Times New Roman" w:hAnsi="Times New Roman" w:eastAsia="黑体" w:cs="Times New Roman"/>
          <w:color w:val="auto"/>
          <w:kern w:val="2"/>
          <w:sz w:val="32"/>
          <w:szCs w:val="32"/>
          <w:lang w:val="en-US" w:eastAsia="zh-CN" w:bidi="ar-SA"/>
        </w:rPr>
        <w:t>“</w:t>
      </w:r>
      <w:r>
        <w:rPr>
          <w:rFonts w:ascii="Times New Roman" w:hAnsi="Times New Roman" w:eastAsia="黑体" w:cs="Times New Roman"/>
          <w:color w:val="auto"/>
          <w:kern w:val="2"/>
          <w:sz w:val="32"/>
          <w:szCs w:val="32"/>
          <w:lang w:val="en-US" w:eastAsia="zh-CN" w:bidi="ar-SA"/>
        </w:rPr>
        <w:t>市强县弱</w:t>
      </w:r>
      <w:r>
        <w:rPr>
          <w:rFonts w:hint="eastAsia" w:ascii="Times New Roman" w:hAnsi="Times New Roman" w:eastAsia="黑体" w:cs="Times New Roman"/>
          <w:color w:val="auto"/>
          <w:kern w:val="2"/>
          <w:sz w:val="32"/>
          <w:szCs w:val="32"/>
          <w:lang w:val="en-US" w:eastAsia="zh-CN" w:bidi="ar-SA"/>
        </w:rPr>
        <w:t>”</w:t>
      </w:r>
      <w:r>
        <w:rPr>
          <w:rFonts w:ascii="Times New Roman" w:hAnsi="Times New Roman" w:eastAsia="黑体" w:cs="Times New Roman"/>
          <w:color w:val="auto"/>
          <w:kern w:val="2"/>
          <w:sz w:val="32"/>
          <w:szCs w:val="32"/>
          <w:lang w:val="en-US" w:eastAsia="zh-CN" w:bidi="ar-SA"/>
        </w:rPr>
        <w:t>问题及破解措施研究</w:t>
      </w:r>
      <w:r>
        <w:rPr>
          <w:rFonts w:hint="default" w:ascii="Times New Roman" w:hAnsi="Times New Roman" w:eastAsia="黑体" w:cs="Times New Roman"/>
          <w:color w:val="auto"/>
          <w:kern w:val="2"/>
          <w:sz w:val="32"/>
          <w:szCs w:val="32"/>
          <w:shd w:val="clear"/>
          <w:lang w:val="en-US" w:eastAsia="zh-CN" w:bidi="ar-SA"/>
        </w:rPr>
        <w:t>（20万元经费预算）</w:t>
      </w:r>
    </w:p>
    <w:p w14:paraId="7950A29B">
      <w:pPr>
        <w:widowControl w:val="0"/>
        <w:adjustRightInd w:val="0"/>
        <w:snapToGrid w:val="0"/>
        <w:spacing w:after="0" w:line="560" w:lineRule="exact"/>
        <w:ind w:firstLine="643" w:firstLineChars="200"/>
        <w:jc w:val="both"/>
        <w:rPr>
          <w:rFonts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w:t>
      </w:r>
      <w:r>
        <w:rPr>
          <w:rFonts w:ascii="Times New Roman" w:hAnsi="Times New Roman" w:eastAsia="仿宋" w:cs="Times New Roman"/>
          <w:color w:val="auto"/>
          <w:kern w:val="0"/>
          <w:sz w:val="32"/>
          <w:szCs w:val="32"/>
          <w:lang w:val="en-US" w:eastAsia="zh-CN" w:bidi="ar-SA"/>
        </w:rPr>
        <w:t>市强县弱</w:t>
      </w:r>
      <w:r>
        <w:rPr>
          <w:rFonts w:hint="eastAsia" w:ascii="Times New Roman" w:hAnsi="Times New Roman" w:eastAsia="仿宋" w:cs="Times New Roman"/>
          <w:color w:val="auto"/>
          <w:kern w:val="0"/>
          <w:sz w:val="32"/>
          <w:szCs w:val="32"/>
          <w:lang w:val="en-US" w:eastAsia="zh-CN" w:bidi="ar-SA"/>
        </w:rPr>
        <w:t>”</w:t>
      </w:r>
      <w:r>
        <w:rPr>
          <w:rFonts w:ascii="Times New Roman" w:hAnsi="Times New Roman" w:eastAsia="仿宋" w:cs="Times New Roman"/>
          <w:color w:val="auto"/>
          <w:kern w:val="0"/>
          <w:sz w:val="32"/>
          <w:szCs w:val="32"/>
          <w:lang w:val="en-US" w:eastAsia="zh-CN" w:bidi="ar-SA"/>
        </w:rPr>
        <w:t>是宜宾发展中的突出问题。2025年，8个县域（7个行政县</w:t>
      </w:r>
      <w:r>
        <w:rPr>
          <w:rFonts w:hint="eastAsia" w:ascii="Times New Roman" w:hAnsi="Times New Roman" w:eastAsia="仿宋" w:cs="Times New Roman"/>
          <w:color w:val="auto"/>
          <w:kern w:val="0"/>
          <w:sz w:val="32"/>
          <w:szCs w:val="32"/>
          <w:lang w:val="en-US" w:eastAsia="zh-CN" w:bidi="ar-SA"/>
        </w:rPr>
        <w:t>，以及具有县域经济特征的南溪区</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地区生产总值1753.73亿元、占全市的42.41%，有7个县域增速低于全市平均水平；地方一般公共预算收入104.19亿元、占全市的31.20%，有4个县域增速低于全市平均水平；全体居民人均可支配收入26897—38335元，有7个县域低于全市平均水平；2024年城镇化率34.66%—59.72%，有7个县域低于全市平均水平。放在全省比，宜宾县域经济发展水平总体不靠前，与宜宾在21个市州中的经济地位极不匹配。</w:t>
      </w:r>
      <w:r>
        <w:rPr>
          <w:rFonts w:ascii="Times New Roman" w:hAnsi="Times New Roman" w:eastAsia="仿宋" w:cs="Times New Roman"/>
          <w:color w:val="auto"/>
          <w:kern w:val="0"/>
          <w:sz w:val="32"/>
          <w:szCs w:val="32"/>
          <w:lang w:val="en-US" w:eastAsia="zh-CN" w:bidi="ar-SA"/>
        </w:rPr>
        <w:t>2025年，</w:t>
      </w:r>
      <w:r>
        <w:rPr>
          <w:rFonts w:hint="eastAsia" w:ascii="Times New Roman" w:hAnsi="Times New Roman" w:eastAsia="仿宋" w:cs="Times New Roman"/>
          <w:color w:val="auto"/>
          <w:kern w:val="0"/>
          <w:sz w:val="32"/>
          <w:szCs w:val="32"/>
          <w:lang w:val="en-US" w:eastAsia="zh-CN" w:bidi="ar-SA"/>
        </w:rPr>
        <w:t>全省183个县（市、区）中，宜宾8个县域地区生产总值居85—124名，其中，6个县域居85—94名、筠连县居102名、屏山县居124名。为破解这一问题，宜宾市委六届十一次全会明确，实施“市县一体”赋能县域经济发展工程，夯实县域经济底部基础；市政府六届九次全会要求，研究制定振兴县域经济五年行动方案，着力提升县域经济发展水平。围绕市委、市政府要求，现需对宜宾“市强县弱”问题进行深入研究分析，找准问题症结；对标相关政策要求，学习借鉴先进地区经验，研究提出针对性破解措施，为市委、市政府决策提供参考。</w:t>
      </w:r>
    </w:p>
    <w:p w14:paraId="3BAAB8F5">
      <w:pPr>
        <w:widowControl w:val="0"/>
        <w:adjustRightInd/>
        <w:snapToGrid/>
        <w:spacing w:after="0" w:line="560" w:lineRule="exact"/>
        <w:ind w:firstLine="643" w:firstLineChars="200"/>
        <w:jc w:val="both"/>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6D0C73E7">
      <w:pPr>
        <w:widowControl w:val="0"/>
        <w:adjustRightInd w:val="0"/>
        <w:snapToGrid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1.宜宾县域经济发展主要短板及症结分析。通过与全国、全省同类县域比较，找到宜宾县域经济发展中的主要短板，并通过深入调查研究，找准导致相关问题的症结所在。</w:t>
      </w:r>
    </w:p>
    <w:p w14:paraId="4FA189C7">
      <w:pPr>
        <w:widowControl w:val="0"/>
        <w:adjustRightInd w:val="0"/>
        <w:snapToGrid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2.对策建议。对标相关政策要求，学习借鉴先进地区经验，结合宜宾实际，针对研究发现的主要短板及症结，立足今后5年（2026—2030），提出市、县层面破解措施建议。</w:t>
      </w:r>
    </w:p>
    <w:p w14:paraId="63C9D332">
      <w:pPr>
        <w:widowControl w:val="0"/>
        <w:adjustRightInd/>
        <w:snapToGrid/>
        <w:spacing w:after="0" w:line="560" w:lineRule="exact"/>
        <w:ind w:firstLine="643" w:firstLineChars="200"/>
        <w:jc w:val="both"/>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结项成果要求：</w:t>
      </w:r>
    </w:p>
    <w:p w14:paraId="4D0E27B6">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按研究内容，高质量形成3万字及以上的深度研究报告（含4000字摘要），真正找准问题及症结，提出切实可行的对策建议，并结合研究情况，深度参与宜宾振兴县域经济五年行动方案研究制定工作，提出合理化意见建议，配合有关方面高质量形成五年行动方案。2.以中国人民大学长江经济带研究院（或课题项目）为署名单位</w:t>
      </w:r>
      <w:r>
        <w:rPr>
          <w:rFonts w:ascii="Times New Roman" w:hAnsi="Times New Roman" w:eastAsia="仿宋" w:cs="Times New Roman"/>
          <w:color w:val="auto"/>
          <w:kern w:val="0"/>
          <w:sz w:val="32"/>
          <w:szCs w:val="32"/>
          <w:lang w:val="en-US" w:eastAsia="zh-CN" w:bidi="ar-SA"/>
        </w:rPr>
        <w:t>形成咨政内参</w:t>
      </w:r>
      <w:r>
        <w:rPr>
          <w:rFonts w:hint="eastAsia" w:ascii="Times New Roman" w:hAnsi="Times New Roman" w:eastAsia="仿宋" w:cs="Times New Roman"/>
          <w:color w:val="auto"/>
          <w:kern w:val="0"/>
          <w:sz w:val="32"/>
          <w:szCs w:val="32"/>
          <w:lang w:val="en-US" w:eastAsia="zh-CN" w:bidi="ar-SA"/>
        </w:rPr>
        <w:t>2</w:t>
      </w:r>
      <w:r>
        <w:rPr>
          <w:rFonts w:ascii="Times New Roman" w:hAnsi="Times New Roman" w:eastAsia="仿宋" w:cs="Times New Roman"/>
          <w:color w:val="auto"/>
          <w:kern w:val="0"/>
          <w:sz w:val="32"/>
          <w:szCs w:val="32"/>
          <w:lang w:val="en-US" w:eastAsia="zh-CN" w:bidi="ar-SA"/>
        </w:rPr>
        <w:t>篇，获得</w:t>
      </w:r>
      <w:r>
        <w:rPr>
          <w:rFonts w:hint="default" w:ascii="Times New Roman" w:hAnsi="Times New Roman" w:eastAsia="仿宋" w:cs="Times New Roman"/>
          <w:color w:val="auto"/>
          <w:kern w:val="0"/>
          <w:sz w:val="32"/>
          <w:szCs w:val="32"/>
          <w:lang w:val="en-US" w:eastAsia="zh-CN" w:bidi="ar-SA"/>
        </w:rPr>
        <w:t>市领导（副厅级）</w:t>
      </w:r>
      <w:r>
        <w:rPr>
          <w:rFonts w:ascii="Times New Roman" w:hAnsi="Times New Roman" w:eastAsia="仿宋" w:cs="Times New Roman"/>
          <w:color w:val="auto"/>
          <w:kern w:val="0"/>
          <w:sz w:val="32"/>
          <w:szCs w:val="32"/>
          <w:lang w:val="en-US" w:eastAsia="zh-CN" w:bidi="ar-SA"/>
        </w:rPr>
        <w:t>及以上批示</w:t>
      </w:r>
      <w:r>
        <w:rPr>
          <w:rFonts w:hint="default" w:ascii="Times New Roman" w:hAnsi="Times New Roman" w:eastAsia="仿宋" w:cs="Times New Roman"/>
          <w:color w:val="auto"/>
          <w:kern w:val="0"/>
          <w:sz w:val="32"/>
          <w:szCs w:val="32"/>
          <w:lang w:val="en-US" w:eastAsia="zh-CN" w:bidi="ar-SA"/>
        </w:rPr>
        <w:t>或课题主管/牵头市级部门采纳</w:t>
      </w:r>
      <w:r>
        <w:rPr>
          <w:rFonts w:ascii="Times New Roman" w:hAnsi="Times New Roman" w:eastAsia="仿宋" w:cs="Times New Roman"/>
          <w:color w:val="auto"/>
          <w:kern w:val="0"/>
          <w:sz w:val="32"/>
          <w:szCs w:val="32"/>
          <w:lang w:val="en-US" w:eastAsia="zh-CN" w:bidi="ar-SA"/>
        </w:rPr>
        <w:t>1次；</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3.以中国人民大学长江经济带研究院为署名单位，在省部级及以上媒体发表针对宜宾的文章2篇。</w:t>
      </w:r>
    </w:p>
    <w:p w14:paraId="1783668F">
      <w:pPr>
        <w:spacing w:after="0" w:line="560" w:lineRule="exact"/>
        <w:ind w:firstLine="643" w:firstLineChars="200"/>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4A2CD0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到宜宾实地调研1次以上，且课题组成员根据研究主题须参与到长江院生态、经济、人才、数据、文化研究中心建设的相关活动，支持长江院进区县进部门相关活动（如参与思想沙龙、长江大讲堂、进高中开展思政课等）；2027年1月31日前提交研究报告初稿，2027年3月进行中期评审，2027年5月完成研究报告结项验收，2027年6月30日前完成全部结项成果指标。</w:t>
      </w:r>
    </w:p>
    <w:p w14:paraId="729EF6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bookmarkStart w:id="2" w:name="_GoBack"/>
      <w:bookmarkEnd w:id="2"/>
    </w:p>
    <w:p w14:paraId="6F4DB4F4">
      <w:pPr>
        <w:widowControl w:val="0"/>
        <w:numPr>
          <w:ilvl w:val="0"/>
          <w:numId w:val="1"/>
        </w:numPr>
        <w:spacing w:after="0" w:line="560" w:lineRule="exact"/>
        <w:ind w:firstLine="640" w:firstLineChars="200"/>
        <w:jc w:val="both"/>
        <w:rPr>
          <w:rFonts w:ascii="Times New Roman" w:hAnsi="Times New Roman" w:eastAsia="黑体" w:cs="Times New Roman"/>
          <w:color w:val="auto"/>
          <w:kern w:val="2"/>
          <w:sz w:val="32"/>
          <w:szCs w:val="32"/>
          <w:lang w:val="en-US" w:eastAsia="zh-CN" w:bidi="ar-SA"/>
        </w:rPr>
      </w:pPr>
      <w:bookmarkStart w:id="0" w:name="OLE_LINK2"/>
      <w:bookmarkStart w:id="1" w:name="OLE_LINK3"/>
      <w:r>
        <w:rPr>
          <w:rFonts w:ascii="Times New Roman" w:hAnsi="Times New Roman" w:eastAsia="黑体" w:cs="Times New Roman"/>
          <w:color w:val="auto"/>
          <w:kern w:val="2"/>
          <w:sz w:val="32"/>
          <w:szCs w:val="32"/>
          <w:lang w:val="en-US" w:eastAsia="zh-CN" w:bidi="ar-SA"/>
        </w:rPr>
        <w:t>推动宜宾市公共治理现代化与统一大市场建设创新实践研究</w:t>
      </w:r>
      <w:r>
        <w:rPr>
          <w:rFonts w:hint="eastAsia" w:ascii="Times New Roman" w:hAnsi="Times New Roman" w:eastAsia="黑体" w:cs="Times New Roman"/>
          <w:color w:val="auto"/>
          <w:kern w:val="2"/>
          <w:sz w:val="32"/>
          <w:szCs w:val="32"/>
          <w:shd w:val="clear"/>
          <w:lang w:val="en-US" w:eastAsia="zh-CN" w:bidi="ar-SA"/>
        </w:rPr>
        <w:t>（20万元经费预算）</w:t>
      </w:r>
    </w:p>
    <w:bookmarkEnd w:id="0"/>
    <w:bookmarkEnd w:id="1"/>
    <w:p w14:paraId="4D6906A1">
      <w:pPr>
        <w:widowControl w:val="0"/>
        <w:spacing w:after="0" w:line="560" w:lineRule="exact"/>
        <w:ind w:firstLine="643" w:firstLineChars="200"/>
        <w:jc w:val="both"/>
        <w:rPr>
          <w:rFonts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当前，我国正加快推进国家治理体系和治理能力现代化，将强化数智治理、优化营商环境、统一大市场建设作为重要抓手，其意义远超经济范畴，通过规则重构和秩序重建，成为推进国家治理现代化的具体实践。宜宾市主动融入国家战略，推进成宜、渝宜合作事项落地，实施共建成渝地区双城经济圈重大项目，获批中国（宜宾）跨境电子商务综合试验区、港口型国家物流枢纽承载城市等，为统一大市场建设奠定了坚实基础。在公共治理方面，宜宾市积极探索数智治理、政务服务创新、推进城市运行“一网统管”、政务服务“一网通办”、公共数据一体化平台建设，构筑现代化治理新范式，积累了丰富的城市治理和公共事务治理实践经验，也提供了鲜活的创新实践样本。为此，本课题拟从公共数据授权运营、优化营商环境、建立统一大市场的视角，总结提炼宜宾公共治理现代化进程中的先进经验、最佳实践，并在此基础上提出进一步提升的对策建议。</w:t>
      </w:r>
    </w:p>
    <w:p w14:paraId="344B39EB">
      <w:pPr>
        <w:widowControl w:val="0"/>
        <w:spacing w:after="0" w:line="560" w:lineRule="exact"/>
        <w:ind w:firstLine="643" w:firstLineChars="200"/>
        <w:jc w:val="both"/>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028CBCCF">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1.梳理全国公共数据授权运营的现状，分析宜宾公共数据治理的创新做法，总结先进经验，提炼典型案例，分析存在问题，提出优化建议。</w:t>
      </w:r>
    </w:p>
    <w:p w14:paraId="2132EF7B">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2.梳理全国典型地区优化营商环境的做法，探寻宜宾优化营商环境的政策创新与最佳实践，总结经验、提炼典型案例，分析存在问题，提出完善的对策建议。</w:t>
      </w:r>
    </w:p>
    <w:p w14:paraId="279A61FF">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3.梳理全国典型地区区域统一市场的做法，分析宜宾建立区域统一大市场的创新实践，总结经验，提炼典型案例，分析存在问题，提出进一步完善的对策建议。</w:t>
      </w:r>
    </w:p>
    <w:p w14:paraId="1CDA4418">
      <w:pPr>
        <w:widowControl w:val="0"/>
        <w:spacing w:after="0" w:line="560" w:lineRule="exact"/>
        <w:ind w:firstLine="643" w:firstLineChars="200"/>
        <w:jc w:val="both"/>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结项成果要求：</w:t>
      </w:r>
    </w:p>
    <w:p w14:paraId="7729C275">
      <w:pPr>
        <w:widowControl w:val="0"/>
        <w:numPr>
          <w:ilvl w:val="0"/>
          <w:numId w:val="0"/>
        </w:numPr>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按研究内容，高质量形成3万字及以上研究总报告（含4000字摘要），该报告要总体描述宜宾市在公共治理现代化进程中的成绩、存在问题、影响因素以及进一步提升的建议；2.高质量形成三个分报告：第一，宜宾公共数据授权运营研究分报告（该报告在对比发达地区先进做法基础上，分析宜宾现状、总结经验、提出具体对策建议）；第二，宜宾优化营商环境研究分报告（该报告在对比发达地区先进做法的基础上，分析宜宾现状、总结经验、提炼案例，提出进一步提升的对策思考）；第三，宜宾区域统一大市场建设研究分报告（该报告在对标发达地区先进做法的基础上，分析宜宾现状、总结经验、提炼案例，提出进一步提升的对策建议）。3.以中国人民大学长江经济带研究院（或课题项目）为署名单位</w:t>
      </w:r>
      <w:r>
        <w:rPr>
          <w:rFonts w:ascii="Times New Roman" w:hAnsi="Times New Roman" w:eastAsia="仿宋" w:cs="Times New Roman"/>
          <w:color w:val="auto"/>
          <w:kern w:val="0"/>
          <w:sz w:val="32"/>
          <w:szCs w:val="32"/>
          <w:lang w:val="en-US" w:eastAsia="zh-CN" w:bidi="ar-SA"/>
        </w:rPr>
        <w:t>形成咨政内参</w:t>
      </w:r>
      <w:r>
        <w:rPr>
          <w:rFonts w:hint="eastAsia" w:ascii="Times New Roman" w:hAnsi="Times New Roman" w:eastAsia="仿宋" w:cs="Times New Roman"/>
          <w:color w:val="auto"/>
          <w:kern w:val="0"/>
          <w:sz w:val="32"/>
          <w:szCs w:val="32"/>
          <w:lang w:val="en-US" w:eastAsia="zh-CN" w:bidi="ar-SA"/>
        </w:rPr>
        <w:t>2</w:t>
      </w:r>
      <w:r>
        <w:rPr>
          <w:rFonts w:ascii="Times New Roman" w:hAnsi="Times New Roman" w:eastAsia="仿宋" w:cs="Times New Roman"/>
          <w:color w:val="auto"/>
          <w:kern w:val="0"/>
          <w:sz w:val="32"/>
          <w:szCs w:val="32"/>
          <w:lang w:val="en-US" w:eastAsia="zh-CN" w:bidi="ar-SA"/>
        </w:rPr>
        <w:t>篇，获得</w:t>
      </w:r>
      <w:r>
        <w:rPr>
          <w:rFonts w:hint="default" w:ascii="Times New Roman" w:hAnsi="Times New Roman" w:eastAsia="仿宋" w:cs="Times New Roman"/>
          <w:color w:val="auto"/>
          <w:kern w:val="0"/>
          <w:sz w:val="32"/>
          <w:szCs w:val="32"/>
          <w:lang w:val="en-US" w:eastAsia="zh-CN" w:bidi="ar-SA"/>
        </w:rPr>
        <w:t>市领导（副厅级）</w:t>
      </w:r>
      <w:r>
        <w:rPr>
          <w:rFonts w:ascii="Times New Roman" w:hAnsi="Times New Roman" w:eastAsia="仿宋" w:cs="Times New Roman"/>
          <w:color w:val="auto"/>
          <w:kern w:val="0"/>
          <w:sz w:val="32"/>
          <w:szCs w:val="32"/>
          <w:lang w:val="en-US" w:eastAsia="zh-CN" w:bidi="ar-SA"/>
        </w:rPr>
        <w:t>及以上批示</w:t>
      </w:r>
      <w:r>
        <w:rPr>
          <w:rFonts w:hint="default" w:ascii="Times New Roman" w:hAnsi="Times New Roman" w:eastAsia="仿宋" w:cs="Times New Roman"/>
          <w:color w:val="auto"/>
          <w:kern w:val="0"/>
          <w:sz w:val="32"/>
          <w:szCs w:val="32"/>
          <w:lang w:val="en-US" w:eastAsia="zh-CN" w:bidi="ar-SA"/>
        </w:rPr>
        <w:t>或课题主管/牵头市级部门采纳</w:t>
      </w:r>
      <w:r>
        <w:rPr>
          <w:rFonts w:ascii="Times New Roman" w:hAnsi="Times New Roman" w:eastAsia="仿宋" w:cs="Times New Roman"/>
          <w:color w:val="auto"/>
          <w:kern w:val="0"/>
          <w:sz w:val="32"/>
          <w:szCs w:val="32"/>
          <w:lang w:val="en-US" w:eastAsia="zh-CN" w:bidi="ar-SA"/>
        </w:rPr>
        <w:t>1次；</w:t>
      </w:r>
      <w:r>
        <w:rPr>
          <w:rFonts w:hint="eastAsia" w:ascii="Times New Roman" w:hAnsi="Times New Roman" w:eastAsia="仿宋" w:cs="Times New Roman"/>
          <w:color w:val="auto"/>
          <w:kern w:val="0"/>
          <w:sz w:val="32"/>
          <w:szCs w:val="32"/>
          <w:lang w:val="en-US" w:eastAsia="zh-CN" w:bidi="ar-SA"/>
        </w:rPr>
        <w:t>4.以中国人民大学长江经济带研究院为署名单位，在省部级及以上媒体发表针对宜宾的文章2篇。</w:t>
      </w:r>
    </w:p>
    <w:p w14:paraId="5867D9BA">
      <w:pPr>
        <w:spacing w:after="0" w:line="560" w:lineRule="exact"/>
        <w:ind w:firstLine="643" w:firstLineChars="200"/>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3F79DB14">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到宜宾实地调研1次以上，且课题组成员根据研究主题须参与到长江院生态、经济、人才、数据、文化研究中心建设的相关活动，支持长江院进区县进部门相关活动（如参与思想沙龙、长江大讲堂、进高中开展思政课等）；2027年1月31日前提交研究报告初稿，2027年3月进行中期评审，2027年5月完成研究报告结项验收，2027年6月30日前完成全部结项成果指标。</w:t>
      </w:r>
    </w:p>
    <w:p w14:paraId="1B32D008">
      <w:pPr>
        <w:widowControl w:val="0"/>
        <w:numPr>
          <w:ilvl w:val="0"/>
          <w:numId w:val="1"/>
        </w:numPr>
        <w:spacing w:after="0" w:line="560" w:lineRule="exact"/>
        <w:ind w:firstLine="640" w:firstLineChars="200"/>
        <w:jc w:val="both"/>
        <w:rPr>
          <w:rFonts w:hint="default"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产业跃升与金融赋能：宜宾市现代金融体系建设研究</w:t>
      </w:r>
      <w:r>
        <w:rPr>
          <w:rFonts w:hint="eastAsia" w:ascii="Times New Roman" w:hAnsi="Times New Roman" w:eastAsia="黑体" w:cs="Times New Roman"/>
          <w:color w:val="auto"/>
          <w:kern w:val="2"/>
          <w:sz w:val="32"/>
          <w:szCs w:val="32"/>
          <w:shd w:val="clear"/>
          <w:lang w:val="en-US" w:eastAsia="zh-CN" w:bidi="ar-SA"/>
        </w:rPr>
        <w:t>（20万元经费预算）</w:t>
      </w:r>
    </w:p>
    <w:p w14:paraId="52C1E9B7">
      <w:pPr>
        <w:spacing w:after="0" w:line="560" w:lineRule="exact"/>
        <w:ind w:firstLine="643" w:firstLineChars="200"/>
        <w:rPr>
          <w:rFonts w:hint="default" w:ascii="Times New Roman" w:hAnsi="Times New Roman" w:eastAsia="仿宋" w:cs="Times New Roman"/>
          <w:color w:val="auto"/>
          <w:sz w:val="32"/>
          <w:szCs w:val="32"/>
        </w:rPr>
      </w:pPr>
      <w:r>
        <w:rPr>
          <w:rFonts w:hint="eastAsia" w:ascii="Times New Roman" w:hAnsi="Times New Roman" w:eastAsia="楷体" w:cs="Times New Roman"/>
          <w:b/>
          <w:bCs/>
          <w:color w:val="auto"/>
          <w:kern w:val="0"/>
          <w:sz w:val="32"/>
          <w:szCs w:val="32"/>
        </w:rPr>
        <w:t>研究背景：</w:t>
      </w:r>
      <w:r>
        <w:rPr>
          <w:rFonts w:hint="default" w:ascii="Times New Roman" w:hAnsi="Times New Roman" w:eastAsia="仿宋" w:cs="Times New Roman"/>
          <w:color w:val="auto"/>
          <w:sz w:val="32"/>
          <w:szCs w:val="32"/>
        </w:rPr>
        <w:t>党的二十大及中央金融工作会议明确提出要</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加快建设金融强国</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，并强调金融工作需坚持</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服务实体经济、防控金融风险、深化金融改革</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三大任务。近年来，宜宾市凭借</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产业发展双轮驱动</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战略，成功抢抓绿色低碳产业风口，迅速集聚了以动力电池、晶硅光伏、数字经济为代表的千亿级产业集群，地区生产总值与城市综合竞争力实现跨越式提升。经济的快速崛起和产业结构的深刻变革，催生了巨大的金融服务需求</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一方面，传统优势产业的提质增效需要产融结合的深度创新；另一方面，新兴主导产业的全链条发展对科技金融</w:t>
      </w:r>
      <w:r>
        <w:rPr>
          <w:rFonts w:hint="default" w:ascii="Times New Roman" w:hAnsi="Times New Roman" w:eastAsia="仿宋" w:cs="Times New Roman"/>
          <w:color w:val="auto"/>
          <w:sz w:val="32"/>
          <w:szCs w:val="32"/>
          <w:lang w:eastAsia="zh-CN"/>
        </w:rPr>
        <w:t>、供应链金融</w:t>
      </w:r>
      <w:r>
        <w:rPr>
          <w:rFonts w:hint="default" w:ascii="Times New Roman" w:hAnsi="Times New Roman" w:eastAsia="仿宋" w:cs="Times New Roman"/>
          <w:color w:val="auto"/>
          <w:sz w:val="32"/>
          <w:szCs w:val="32"/>
        </w:rPr>
        <w:t>等多元化服务提出了迫切需求。然而，金融发展往往滞后于产业扩张，当前宜宾金融业在规模能级、业态结构、服务效率以及人才集聚等方面，仍面临与实体经济高速发展不相适应的结构性矛盾。</w:t>
      </w:r>
    </w:p>
    <w:p w14:paraId="332E0D11">
      <w:pPr>
        <w:keepNext w:val="0"/>
        <w:keepLines w:val="0"/>
        <w:pageBreakBefore w:val="0"/>
        <w:widowControl w:val="0"/>
        <w:kinsoku/>
        <w:wordWrap/>
        <w:overflowPunct/>
        <w:topLinePunct w:val="0"/>
        <w:autoSpaceDE/>
        <w:autoSpaceDN/>
        <w:bidi w:val="0"/>
        <w:adjustRightInd/>
        <w:snapToGrid/>
        <w:spacing w:beforeAutospacing="0" w:after="0" w:line="560" w:lineRule="exact"/>
        <w:ind w:firstLine="640" w:firstLineChars="200"/>
        <w:jc w:val="both"/>
        <w:textAlignment w:val="auto"/>
        <w:rPr>
          <w:rFonts w:hint="default" w:ascii="Times New Roman" w:hAnsi="Times New Roman" w:eastAsia="仿宋" w:cs="Times New Roman"/>
          <w:color w:val="auto"/>
          <w:kern w:val="0"/>
          <w:sz w:val="32"/>
          <w:szCs w:val="32"/>
          <w:lang w:val="en-US" w:eastAsia="zh-CN" w:bidi="ar-SA"/>
        </w:rPr>
      </w:pPr>
      <w:r>
        <w:rPr>
          <w:rFonts w:hint="default" w:ascii="Times New Roman" w:hAnsi="Times New Roman" w:eastAsia="仿宋" w:cs="Times New Roman"/>
          <w:color w:val="auto"/>
          <w:kern w:val="0"/>
          <w:sz w:val="32"/>
          <w:szCs w:val="32"/>
          <w:lang w:val="en-US" w:eastAsia="zh-CN" w:bidi="ar-SA"/>
        </w:rPr>
        <w:t>全球经济格局深度调整，国内经济由高速增长转向高质量发展阶段，金融监管体制改革持续深化，数字金融、绿色金融等</w:t>
      </w:r>
      <w:r>
        <w:rPr>
          <w:rFonts w:hint="eastAsia" w:ascii="Times New Roman" w:hAnsi="Times New Roman" w:eastAsia="仿宋" w:cs="Times New Roman"/>
          <w:color w:val="auto"/>
          <w:kern w:val="0"/>
          <w:sz w:val="32"/>
          <w:szCs w:val="32"/>
          <w:lang w:val="en-US" w:eastAsia="zh-CN" w:bidi="ar-SA"/>
        </w:rPr>
        <w:t>“</w:t>
      </w:r>
      <w:r>
        <w:rPr>
          <w:rFonts w:hint="default" w:ascii="Times New Roman" w:hAnsi="Times New Roman" w:eastAsia="仿宋" w:cs="Times New Roman"/>
          <w:color w:val="auto"/>
          <w:kern w:val="0"/>
          <w:sz w:val="32"/>
          <w:szCs w:val="32"/>
          <w:lang w:val="en-US" w:eastAsia="zh-CN" w:bidi="ar-SA"/>
        </w:rPr>
        <w:t>五大金融</w:t>
      </w:r>
      <w:r>
        <w:rPr>
          <w:rFonts w:hint="eastAsia" w:ascii="Times New Roman" w:hAnsi="Times New Roman" w:eastAsia="仿宋" w:cs="Times New Roman"/>
          <w:color w:val="auto"/>
          <w:kern w:val="0"/>
          <w:sz w:val="32"/>
          <w:szCs w:val="32"/>
          <w:lang w:val="en-US" w:eastAsia="zh-CN" w:bidi="ar-SA"/>
        </w:rPr>
        <w:t>”</w:t>
      </w:r>
      <w:r>
        <w:rPr>
          <w:rFonts w:hint="default" w:ascii="Times New Roman" w:hAnsi="Times New Roman" w:eastAsia="仿宋" w:cs="Times New Roman"/>
          <w:color w:val="auto"/>
          <w:kern w:val="0"/>
          <w:sz w:val="32"/>
          <w:szCs w:val="32"/>
          <w:lang w:val="en-US" w:eastAsia="zh-CN" w:bidi="ar-SA"/>
        </w:rPr>
        <w:t>已成为新的增长极。对于宜宾而言，如何准确把握国家宏观金融政策导向，充分依托成渝地区双城经济圈建设的战略红利，将地方产业优势转化为金融发展优势，是规划制定过程中必须回答的核心命题。</w:t>
      </w:r>
    </w:p>
    <w:p w14:paraId="7EA81CC3">
      <w:pPr>
        <w:pStyle w:val="2"/>
        <w:rPr>
          <w:lang w:val="en-US" w:eastAsia="zh-CN"/>
        </w:rPr>
      </w:pPr>
    </w:p>
    <w:p w14:paraId="5C2A0F2F">
      <w:pPr>
        <w:spacing w:after="0" w:line="560" w:lineRule="exact"/>
        <w:ind w:firstLine="643" w:firstLineChars="200"/>
        <w:rPr>
          <w:rFonts w:hint="eastAsia"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rPr>
        <w:t>研究内容：</w:t>
      </w:r>
    </w:p>
    <w:p w14:paraId="5B152E9E">
      <w:pPr>
        <w:numPr>
          <w:ilvl w:val="0"/>
          <w:numId w:val="0"/>
        </w:numPr>
        <w:spacing w:after="0" w:line="560" w:lineRule="exact"/>
        <w:ind w:firstLine="640" w:firstLineChars="200"/>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1.通过系统对标国际国内先进</w:t>
      </w:r>
      <w:r>
        <w:rPr>
          <w:rFonts w:hint="default" w:ascii="Times New Roman" w:hAnsi="Times New Roman" w:eastAsia="仿宋" w:cs="Times New Roman"/>
          <w:color w:val="auto"/>
          <w:kern w:val="0"/>
          <w:sz w:val="32"/>
          <w:szCs w:val="32"/>
          <w:lang w:val="en-US" w:eastAsia="zh-CN" w:bidi="ar-SA"/>
        </w:rPr>
        <w:t>地区金融发展经验</w:t>
      </w:r>
      <w:r>
        <w:rPr>
          <w:rFonts w:hint="default" w:ascii="Times New Roman" w:hAnsi="Times New Roman" w:eastAsia="仿宋" w:cs="Times New Roman"/>
          <w:color w:val="auto"/>
          <w:sz w:val="32"/>
          <w:szCs w:val="32"/>
          <w:lang w:val="en-US" w:eastAsia="zh-CN"/>
        </w:rPr>
        <w:t>，全面深入梳理宜宾市金融行业与产业发展现状与短板，</w:t>
      </w:r>
      <w:r>
        <w:rPr>
          <w:rFonts w:hint="default" w:ascii="Times New Roman" w:hAnsi="Times New Roman" w:eastAsia="仿宋" w:cs="Times New Roman"/>
          <w:color w:val="auto"/>
          <w:kern w:val="0"/>
          <w:sz w:val="32"/>
          <w:szCs w:val="32"/>
          <w:lang w:val="en-US" w:eastAsia="zh-CN" w:bidi="ar-SA"/>
        </w:rPr>
        <w:t>深入分析未来3—5年宜宾面临的机遇与挑战</w:t>
      </w:r>
      <w:r>
        <w:rPr>
          <w:rFonts w:hint="default" w:ascii="Times New Roman" w:hAnsi="Times New Roman" w:eastAsia="仿宋" w:cs="Times New Roman"/>
          <w:color w:val="auto"/>
          <w:sz w:val="32"/>
          <w:szCs w:val="32"/>
          <w:lang w:val="en-US" w:eastAsia="zh-CN"/>
        </w:rPr>
        <w:t>。</w:t>
      </w:r>
    </w:p>
    <w:p w14:paraId="7FC0FD2A">
      <w:pPr>
        <w:numPr>
          <w:ilvl w:val="0"/>
          <w:numId w:val="0"/>
        </w:numPr>
        <w:spacing w:after="0" w:line="560" w:lineRule="exact"/>
        <w:ind w:firstLine="640" w:firstLineChars="200"/>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2.研究将全面评估宜宾在区位、政策、产业、交通及隐性资源等方面的核心优势，同时精准识别当前金融支持体系（包括保险、期货等）中存在的短板与挑战，</w:t>
      </w:r>
      <w:r>
        <w:rPr>
          <w:rFonts w:hint="default" w:ascii="Times New Roman" w:hAnsi="Times New Roman" w:eastAsia="仿宋" w:cs="Times New Roman"/>
          <w:color w:val="auto"/>
          <w:kern w:val="0"/>
          <w:sz w:val="32"/>
          <w:szCs w:val="32"/>
          <w:lang w:val="en-US" w:eastAsia="zh-CN" w:bidi="ar-SA"/>
        </w:rPr>
        <w:t>明确未来3—5年宜宾金融业发展（包括保险、期货等）的战略定位、主要目标、重点任务和实施路径</w:t>
      </w:r>
      <w:r>
        <w:rPr>
          <w:rFonts w:hint="default" w:ascii="Times New Roman" w:hAnsi="Times New Roman" w:eastAsia="仿宋" w:cs="Times New Roman"/>
          <w:color w:val="auto"/>
          <w:sz w:val="32"/>
          <w:szCs w:val="32"/>
          <w:lang w:val="en-US" w:eastAsia="zh-CN"/>
        </w:rPr>
        <w:t>。</w:t>
      </w:r>
    </w:p>
    <w:p w14:paraId="72932F1A">
      <w:pPr>
        <w:numPr>
          <w:ilvl w:val="0"/>
          <w:numId w:val="0"/>
        </w:numPr>
        <w:spacing w:after="0" w:line="560" w:lineRule="exact"/>
        <w:ind w:firstLine="640" w:firstLineChars="200"/>
        <w:rPr>
          <w:rFonts w:ascii="Times New Roman" w:hAnsi="Times New Roman" w:eastAsia="仿宋" w:cs="Times New Roman"/>
          <w:color w:val="auto"/>
          <w:kern w:val="0"/>
          <w:sz w:val="32"/>
          <w:szCs w:val="32"/>
        </w:rPr>
      </w:pPr>
      <w:r>
        <w:rPr>
          <w:rFonts w:hint="default" w:ascii="Times New Roman" w:hAnsi="Times New Roman" w:eastAsia="仿宋" w:cs="Times New Roman"/>
          <w:color w:val="auto"/>
          <w:sz w:val="32"/>
          <w:szCs w:val="32"/>
          <w:lang w:val="en-US" w:eastAsia="zh-CN"/>
        </w:rPr>
        <w:t>3.课题需提出包含总体思路、量化指标与数字目标在内的清晰发展蓝图，并制定具有可操作性的具体工作举措，为宜宾市推动实体经济向专业化和价值链高端延伸提供精准的金融解决方案。</w:t>
      </w:r>
    </w:p>
    <w:p w14:paraId="794D6D08">
      <w:pPr>
        <w:spacing w:after="0" w:line="560" w:lineRule="exact"/>
        <w:ind w:firstLine="643" w:firstLineChars="200"/>
        <w:rPr>
          <w:rFonts w:hint="eastAsia"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hint="eastAsia"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hint="eastAsia" w:ascii="Times New Roman" w:hAnsi="Times New Roman" w:eastAsia="楷体" w:cs="Times New Roman"/>
          <w:b/>
          <w:bCs/>
          <w:color w:val="auto"/>
          <w:kern w:val="0"/>
          <w:sz w:val="32"/>
          <w:szCs w:val="32"/>
        </w:rPr>
        <w:t>：</w:t>
      </w:r>
    </w:p>
    <w:p w14:paraId="17122ADF">
      <w:pPr>
        <w:widowControl w:val="0"/>
        <w:numPr>
          <w:ilvl w:val="0"/>
          <w:numId w:val="0"/>
        </w:numPr>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1.按研究内容，高质量</w:t>
      </w:r>
      <w:r>
        <w:rPr>
          <w:rFonts w:hint="default" w:ascii="Times New Roman" w:hAnsi="Times New Roman" w:eastAsia="仿宋" w:cs="Times New Roman"/>
          <w:color w:val="auto"/>
          <w:kern w:val="0"/>
          <w:sz w:val="32"/>
          <w:szCs w:val="32"/>
          <w:lang w:val="en-US" w:eastAsia="zh-CN" w:bidi="ar-SA"/>
        </w:rPr>
        <w:t>形成</w:t>
      </w:r>
      <w:r>
        <w:rPr>
          <w:rFonts w:hint="eastAsia" w:ascii="Times New Roman" w:hAnsi="Times New Roman" w:eastAsia="仿宋" w:cs="Times New Roman"/>
          <w:color w:val="auto"/>
          <w:kern w:val="0"/>
          <w:sz w:val="32"/>
          <w:szCs w:val="32"/>
          <w:lang w:val="en-US" w:eastAsia="zh-CN" w:bidi="ar-SA"/>
        </w:rPr>
        <w:t>3</w:t>
      </w:r>
      <w:r>
        <w:rPr>
          <w:rFonts w:hint="default" w:ascii="Times New Roman" w:hAnsi="Times New Roman" w:eastAsia="仿宋" w:cs="Times New Roman"/>
          <w:color w:val="auto"/>
          <w:kern w:val="0"/>
          <w:sz w:val="32"/>
          <w:szCs w:val="32"/>
          <w:lang w:val="en-US" w:eastAsia="zh-CN" w:bidi="ar-SA"/>
        </w:rPr>
        <w:t>万字以上深度研究报告。</w:t>
      </w:r>
      <w:r>
        <w:rPr>
          <w:rFonts w:hint="eastAsia" w:ascii="Times New Roman" w:hAnsi="Times New Roman" w:eastAsia="仿宋" w:cs="Times New Roman"/>
          <w:color w:val="auto"/>
          <w:kern w:val="0"/>
          <w:sz w:val="32"/>
          <w:szCs w:val="32"/>
          <w:lang w:val="en-US" w:eastAsia="zh-CN" w:bidi="ar-SA"/>
        </w:rPr>
        <w:t>2.以中国人民大学长江经济带研究院（或课题项目）为署名单位</w:t>
      </w:r>
      <w:r>
        <w:rPr>
          <w:rFonts w:ascii="Times New Roman" w:hAnsi="Times New Roman" w:eastAsia="仿宋" w:cs="Times New Roman"/>
          <w:color w:val="auto"/>
          <w:kern w:val="0"/>
          <w:sz w:val="32"/>
          <w:szCs w:val="32"/>
          <w:lang w:val="en-US" w:eastAsia="zh-CN" w:bidi="ar-SA"/>
        </w:rPr>
        <w:t>形成咨政内参</w:t>
      </w:r>
      <w:r>
        <w:rPr>
          <w:rFonts w:hint="eastAsia" w:ascii="Times New Roman" w:hAnsi="Times New Roman" w:eastAsia="仿宋" w:cs="Times New Roman"/>
          <w:color w:val="auto"/>
          <w:kern w:val="0"/>
          <w:sz w:val="32"/>
          <w:szCs w:val="32"/>
          <w:lang w:val="en-US" w:eastAsia="zh-CN" w:bidi="ar-SA"/>
        </w:rPr>
        <w:t>2</w:t>
      </w:r>
      <w:r>
        <w:rPr>
          <w:rFonts w:ascii="Times New Roman" w:hAnsi="Times New Roman" w:eastAsia="仿宋" w:cs="Times New Roman"/>
          <w:color w:val="auto"/>
          <w:kern w:val="0"/>
          <w:sz w:val="32"/>
          <w:szCs w:val="32"/>
          <w:lang w:val="en-US" w:eastAsia="zh-CN" w:bidi="ar-SA"/>
        </w:rPr>
        <w:t>篇，获得</w:t>
      </w:r>
      <w:r>
        <w:rPr>
          <w:rFonts w:hint="default" w:ascii="Times New Roman" w:hAnsi="Times New Roman" w:eastAsia="仿宋" w:cs="Times New Roman"/>
          <w:color w:val="auto"/>
          <w:kern w:val="0"/>
          <w:sz w:val="32"/>
          <w:szCs w:val="32"/>
          <w:lang w:val="en-US" w:eastAsia="zh-CN" w:bidi="ar-SA"/>
        </w:rPr>
        <w:t>市领导（副厅级）</w:t>
      </w:r>
      <w:r>
        <w:rPr>
          <w:rFonts w:ascii="Times New Roman" w:hAnsi="Times New Roman" w:eastAsia="仿宋" w:cs="Times New Roman"/>
          <w:color w:val="auto"/>
          <w:kern w:val="0"/>
          <w:sz w:val="32"/>
          <w:szCs w:val="32"/>
          <w:lang w:val="en-US" w:eastAsia="zh-CN" w:bidi="ar-SA"/>
        </w:rPr>
        <w:t>及以上批示</w:t>
      </w:r>
      <w:r>
        <w:rPr>
          <w:rFonts w:hint="default" w:ascii="Times New Roman" w:hAnsi="Times New Roman" w:eastAsia="仿宋" w:cs="Times New Roman"/>
          <w:color w:val="auto"/>
          <w:kern w:val="0"/>
          <w:sz w:val="32"/>
          <w:szCs w:val="32"/>
          <w:lang w:val="en-US" w:eastAsia="zh-CN" w:bidi="ar-SA"/>
        </w:rPr>
        <w:t>或课题主管/牵头市级部门采纳</w:t>
      </w:r>
      <w:r>
        <w:rPr>
          <w:rFonts w:ascii="Times New Roman" w:hAnsi="Times New Roman" w:eastAsia="仿宋" w:cs="Times New Roman"/>
          <w:color w:val="auto"/>
          <w:kern w:val="0"/>
          <w:sz w:val="32"/>
          <w:szCs w:val="32"/>
          <w:lang w:val="en-US" w:eastAsia="zh-CN" w:bidi="ar-SA"/>
        </w:rPr>
        <w:t>1次；</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3.以中国人民大学长江经济带研究院为署名单位，在省部级及以上媒体发表针对宜宾的文章2篇。</w:t>
      </w:r>
    </w:p>
    <w:p w14:paraId="51BF9147">
      <w:pPr>
        <w:spacing w:after="0" w:line="560" w:lineRule="exact"/>
        <w:ind w:firstLine="643" w:firstLineChars="200"/>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0FE9DAC2">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到宜宾实地调研1次以上，且课题组成员根据研究主题须参与到长江院生态、经济、人才、数据、文化研究中心建设的相关活动，支持长江院进区县进部门相关活动（如参与思想沙龙、长江大讲堂、进高中开展思政课等）；2027年1月31日前提交研究报告初稿，2027年3月进行中期评审，2027年5月完成研究报告结项验收，2027年6月30日前完成全部结项成果指标。</w:t>
      </w:r>
    </w:p>
    <w:p w14:paraId="0F61612D">
      <w:pPr>
        <w:numPr>
          <w:ilvl w:val="0"/>
          <w:numId w:val="1"/>
        </w:numPr>
        <w:spacing w:after="0" w:line="560" w:lineRule="exact"/>
        <w:ind w:firstLine="640" w:firstLineChars="200"/>
        <w:rPr>
          <w:rFonts w:hint="eastAsia" w:ascii="Times New Roman" w:hAnsi="Times New Roman" w:eastAsia="黑体" w:cs="Times New Roman"/>
          <w:color w:val="auto"/>
          <w:kern w:val="2"/>
          <w:sz w:val="32"/>
          <w:szCs w:val="32"/>
          <w:shd w:val="clear"/>
          <w:lang w:val="en-US" w:eastAsia="zh-CN" w:bidi="ar-SA"/>
        </w:rPr>
      </w:pPr>
      <w:r>
        <w:rPr>
          <w:rFonts w:hint="eastAsia" w:ascii="Times New Roman" w:hAnsi="Times New Roman" w:eastAsia="黑体" w:cs="Times New Roman"/>
          <w:color w:val="auto"/>
          <w:kern w:val="2"/>
          <w:sz w:val="32"/>
          <w:szCs w:val="32"/>
          <w:shd w:val="clear"/>
          <w:lang w:val="en-US" w:eastAsia="zh-CN" w:bidi="ar-SA"/>
        </w:rPr>
        <w:t>宜宾市民营经济发展壮大的现实困境与突破路径研究（20万元经费预算）</w:t>
      </w:r>
    </w:p>
    <w:p w14:paraId="1D81FB2B">
      <w:pPr>
        <w:keepNext w:val="0"/>
        <w:keepLines w:val="0"/>
        <w:pageBreakBefore w:val="0"/>
        <w:widowControl w:val="0"/>
        <w:kinsoku/>
        <w:wordWrap/>
        <w:overflowPunct/>
        <w:topLinePunct w:val="0"/>
        <w:autoSpaceDE/>
        <w:autoSpaceDN/>
        <w:bidi w:val="0"/>
        <w:adjustRightInd/>
        <w:snapToGrid/>
        <w:spacing w:beforeAutospacing="0" w:after="0" w:line="560" w:lineRule="exact"/>
        <w:ind w:firstLine="643" w:firstLineChars="200"/>
        <w:textAlignment w:val="auto"/>
        <w:rPr>
          <w:rFonts w:ascii="Times New Roman" w:hAnsi="Times New Roman" w:eastAsia="仿宋_GB2312" w:cs="Times New Roman"/>
          <w:color w:val="auto"/>
          <w:sz w:val="32"/>
          <w:szCs w:val="32"/>
        </w:rPr>
      </w:pPr>
      <w:r>
        <w:rPr>
          <w:rFonts w:hint="eastAsia" w:ascii="Times New Roman" w:hAnsi="Times New Roman" w:eastAsia="楷体" w:cs="Times New Roman"/>
          <w:b/>
          <w:bCs/>
          <w:color w:val="auto"/>
          <w:kern w:val="0"/>
          <w:sz w:val="32"/>
          <w:szCs w:val="32"/>
        </w:rPr>
        <w:t>研究背景：</w:t>
      </w:r>
      <w:r>
        <w:rPr>
          <w:rFonts w:hint="default" w:ascii="Times New Roman" w:hAnsi="Times New Roman" w:eastAsia="仿宋" w:cs="Times New Roman"/>
          <w:color w:val="auto"/>
          <w:kern w:val="0"/>
          <w:sz w:val="32"/>
          <w:szCs w:val="32"/>
          <w:lang w:val="en-US" w:eastAsia="zh-CN" w:bidi="ar-SA"/>
        </w:rPr>
        <w:t>民营经济是宜宾经济发展的</w:t>
      </w:r>
      <w:r>
        <w:rPr>
          <w:rFonts w:hint="eastAsia" w:ascii="Times New Roman" w:hAnsi="Times New Roman" w:eastAsia="仿宋" w:cs="Times New Roman"/>
          <w:color w:val="auto"/>
          <w:kern w:val="0"/>
          <w:sz w:val="32"/>
          <w:szCs w:val="32"/>
          <w:lang w:val="en-US" w:eastAsia="zh-CN" w:bidi="ar-SA"/>
        </w:rPr>
        <w:t>“</w:t>
      </w:r>
      <w:r>
        <w:rPr>
          <w:rFonts w:hint="default" w:ascii="Times New Roman" w:hAnsi="Times New Roman" w:eastAsia="仿宋" w:cs="Times New Roman"/>
          <w:color w:val="auto"/>
          <w:kern w:val="0"/>
          <w:sz w:val="32"/>
          <w:szCs w:val="32"/>
          <w:lang w:val="en-US" w:eastAsia="zh-CN" w:bidi="ar-SA"/>
        </w:rPr>
        <w:t>半壁江山</w:t>
      </w:r>
      <w:r>
        <w:rPr>
          <w:rFonts w:hint="eastAsia" w:ascii="Times New Roman" w:hAnsi="Times New Roman" w:eastAsia="仿宋" w:cs="Times New Roman"/>
          <w:color w:val="auto"/>
          <w:kern w:val="0"/>
          <w:sz w:val="32"/>
          <w:szCs w:val="32"/>
          <w:lang w:val="en-US" w:eastAsia="zh-CN" w:bidi="ar-SA"/>
        </w:rPr>
        <w:t>”</w:t>
      </w:r>
      <w:r>
        <w:rPr>
          <w:rFonts w:hint="default" w:ascii="Times New Roman" w:hAnsi="Times New Roman" w:eastAsia="仿宋" w:cs="Times New Roman"/>
          <w:color w:val="auto"/>
          <w:kern w:val="0"/>
          <w:sz w:val="32"/>
          <w:szCs w:val="32"/>
          <w:lang w:val="en-US" w:eastAsia="zh-CN" w:bidi="ar-SA"/>
        </w:rPr>
        <w:t>，2025年全市民营经济增加值达2478.1亿元，居全省第3位，增速5.2%，占GDP比重59.9%；民营市场主体52.99万户，占全市</w:t>
      </w:r>
      <w:r>
        <w:rPr>
          <w:rFonts w:hint="eastAsia" w:ascii="Times New Roman" w:hAnsi="Times New Roman" w:eastAsia="仿宋" w:cs="Times New Roman"/>
          <w:color w:val="auto"/>
          <w:kern w:val="0"/>
          <w:sz w:val="32"/>
          <w:szCs w:val="32"/>
          <w:lang w:val="en-US" w:eastAsia="zh-CN" w:bidi="ar-SA"/>
        </w:rPr>
        <w:t>市场主体</w:t>
      </w:r>
      <w:r>
        <w:rPr>
          <w:rFonts w:hint="default" w:ascii="Times New Roman" w:hAnsi="Times New Roman" w:eastAsia="仿宋" w:cs="Times New Roman"/>
          <w:color w:val="auto"/>
          <w:kern w:val="0"/>
          <w:sz w:val="32"/>
          <w:szCs w:val="32"/>
          <w:lang w:val="en-US" w:eastAsia="zh-CN" w:bidi="ar-SA"/>
        </w:rPr>
        <w:t>99.65%。自2023</w:t>
      </w:r>
      <w:r>
        <w:rPr>
          <w:rFonts w:hint="eastAsia" w:ascii="Times New Roman" w:hAnsi="Times New Roman" w:eastAsia="仿宋" w:cs="Times New Roman"/>
          <w:color w:val="auto"/>
          <w:kern w:val="0"/>
          <w:sz w:val="32"/>
          <w:szCs w:val="32"/>
          <w:lang w:val="en-US" w:eastAsia="zh-CN" w:bidi="ar-SA"/>
        </w:rPr>
        <w:t>年以</w:t>
      </w:r>
      <w:r>
        <w:rPr>
          <w:rFonts w:hint="default" w:ascii="Times New Roman" w:hAnsi="Times New Roman" w:eastAsia="仿宋" w:cs="Times New Roman"/>
          <w:color w:val="auto"/>
          <w:kern w:val="0"/>
          <w:sz w:val="32"/>
          <w:szCs w:val="32"/>
          <w:lang w:val="en-US" w:eastAsia="zh-CN" w:bidi="ar-SA"/>
        </w:rPr>
        <w:t>来，民间投资增速连续三年负增长，2025年增速-10.5%，较全省平均</w:t>
      </w:r>
      <w:r>
        <w:rPr>
          <w:rFonts w:hint="eastAsia" w:ascii="Times New Roman" w:hAnsi="Times New Roman" w:eastAsia="仿宋" w:cs="Times New Roman"/>
          <w:color w:val="auto"/>
          <w:kern w:val="0"/>
          <w:sz w:val="32"/>
          <w:szCs w:val="32"/>
          <w:lang w:val="en-US" w:eastAsia="zh-CN" w:bidi="ar-SA"/>
        </w:rPr>
        <w:t>（2.1%）</w:t>
      </w:r>
      <w:r>
        <w:rPr>
          <w:rFonts w:hint="default" w:ascii="Times New Roman" w:hAnsi="Times New Roman" w:eastAsia="仿宋" w:cs="Times New Roman"/>
          <w:color w:val="auto"/>
          <w:kern w:val="0"/>
          <w:sz w:val="32"/>
          <w:szCs w:val="32"/>
          <w:lang w:val="en-US" w:eastAsia="zh-CN" w:bidi="ar-SA"/>
        </w:rPr>
        <w:t>低12.6个百分点，与全市社会经济发展趋势及全省民间投资回升态势不匹配。当前，民</w:t>
      </w:r>
      <w:r>
        <w:rPr>
          <w:rFonts w:hint="eastAsia" w:ascii="Times New Roman" w:hAnsi="Times New Roman" w:eastAsia="仿宋" w:cs="Times New Roman"/>
          <w:color w:val="auto"/>
          <w:kern w:val="0"/>
          <w:sz w:val="32"/>
          <w:szCs w:val="32"/>
          <w:lang w:val="en-US" w:eastAsia="zh-CN" w:bidi="ar-SA"/>
        </w:rPr>
        <w:t>间投资信心不足、融资难、政策针对性不足等问题仍存在，围绕激活民营经济活力要求，开展本研究既是破解发展瓶颈的现实需要，也是推动宜宾建设现代化区域中心城市的重要举措。</w:t>
      </w:r>
    </w:p>
    <w:p w14:paraId="29D00DD4">
      <w:pPr>
        <w:spacing w:after="0" w:line="560" w:lineRule="exact"/>
        <w:ind w:firstLine="643" w:firstLineChars="200"/>
        <w:rPr>
          <w:rFonts w:hint="eastAsia"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rPr>
        <w:t>研究内容：</w:t>
      </w:r>
    </w:p>
    <w:p w14:paraId="375169EF">
      <w:pPr>
        <w:keepNext w:val="0"/>
        <w:keepLines w:val="0"/>
        <w:pageBreakBefore w:val="0"/>
        <w:widowControl w:val="0"/>
        <w:kinsoku/>
        <w:wordWrap/>
        <w:overflowPunct/>
        <w:topLinePunct w:val="0"/>
        <w:autoSpaceDE/>
        <w:autoSpaceDN/>
        <w:bidi w:val="0"/>
        <w:adjustRightInd/>
        <w:snapToGrid/>
        <w:spacing w:beforeAutospacing="0" w:after="0"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 w:cs="Times New Roman"/>
          <w:color w:val="auto"/>
          <w:kern w:val="0"/>
          <w:sz w:val="32"/>
          <w:szCs w:val="32"/>
          <w:lang w:val="en-US" w:eastAsia="zh-CN" w:bidi="ar-SA"/>
        </w:rPr>
        <w:t>宜宾市民营经济发展短板与深层症结剖析。通过与全国、全省同类的市（州）比较，找到宜宾民营经济发展中的主要短板，并通过深入调查研究，找准导致相关问题的症结所在</w:t>
      </w:r>
      <w:r>
        <w:rPr>
          <w:rFonts w:hint="default" w:ascii="Times New Roman" w:hAnsi="Times New Roman" w:eastAsia="仿宋_GB2312" w:cs="Times New Roman"/>
          <w:color w:val="auto"/>
          <w:sz w:val="32"/>
          <w:szCs w:val="32"/>
          <w:lang w:val="en-US" w:eastAsia="zh-CN"/>
        </w:rPr>
        <w:t>。</w:t>
      </w:r>
    </w:p>
    <w:p w14:paraId="7F9AE108">
      <w:pPr>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先</w:t>
      </w:r>
      <w:r>
        <w:rPr>
          <w:rFonts w:hint="eastAsia" w:ascii="Times New Roman" w:hAnsi="Times New Roman" w:eastAsia="仿宋" w:cs="Times New Roman"/>
          <w:color w:val="auto"/>
          <w:kern w:val="0"/>
          <w:sz w:val="32"/>
          <w:szCs w:val="32"/>
          <w:lang w:val="en-US" w:eastAsia="zh-CN" w:bidi="ar-SA"/>
        </w:rPr>
        <w:t>进地区经验借鉴与宜宾落地路径研究。对比国内激活民营经济活力、激发民间投资的先进地区经验，结合宜宾市区位、产业、科教等优势，提炼可复制、可落地的创新举措。</w:t>
      </w:r>
    </w:p>
    <w:p w14:paraId="22A578F0">
      <w:pPr>
        <w:spacing w:after="0" w:line="560" w:lineRule="exact"/>
        <w:ind w:firstLine="643" w:firstLineChars="200"/>
        <w:rPr>
          <w:rFonts w:hint="eastAsia"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hint="eastAsia"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hint="eastAsia" w:ascii="Times New Roman" w:hAnsi="Times New Roman" w:eastAsia="楷体" w:cs="Times New Roman"/>
          <w:b/>
          <w:bCs/>
          <w:color w:val="auto"/>
          <w:kern w:val="0"/>
          <w:sz w:val="32"/>
          <w:szCs w:val="32"/>
        </w:rPr>
        <w:t>：</w:t>
      </w:r>
    </w:p>
    <w:p w14:paraId="1B9800DB">
      <w:pPr>
        <w:spacing w:after="0" w:line="560" w:lineRule="exact"/>
        <w:ind w:firstLine="640" w:firstLineChars="200"/>
        <w:rPr>
          <w:rFonts w:hint="eastAsia" w:ascii="Times New Roman" w:hAnsi="Times New Roman" w:eastAsia="仿宋" w:cs="Times New Roman"/>
          <w:color w:val="auto"/>
          <w:kern w:val="0"/>
          <w:sz w:val="32"/>
          <w:szCs w:val="32"/>
          <w:lang w:val="en-US" w:eastAsia="zh-CN" w:bidi="ar-SA"/>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 w:cs="Times New Roman"/>
          <w:color w:val="auto"/>
          <w:kern w:val="0"/>
          <w:sz w:val="32"/>
          <w:szCs w:val="32"/>
          <w:lang w:val="en-US" w:eastAsia="zh-CN" w:bidi="ar-SA"/>
        </w:rPr>
        <w:t>按研究内容，高质量形成3万字以上的深度研究报告（须全面呈现宜宾市民营经济发展现状、民间投资发展态势，系统梳理制约民营经济活力释放的突出问题及根源，附核心数据、企业案例和诉求梳理，明确激活民营经济活力、激发民间投资的重点方向与突破口；同时，围绕优化营商环境、五类产业空间建设、提振民间投资信心等重点，提出可落地政策建议方案）。2.以中国人民大学长江经济带研究院（或课题项目）为署名单位</w:t>
      </w:r>
      <w:r>
        <w:rPr>
          <w:rFonts w:ascii="Times New Roman" w:hAnsi="Times New Roman" w:eastAsia="仿宋" w:cs="Times New Roman"/>
          <w:color w:val="auto"/>
          <w:kern w:val="0"/>
          <w:sz w:val="32"/>
          <w:szCs w:val="32"/>
          <w:lang w:val="en-US" w:eastAsia="zh-CN" w:bidi="ar-SA"/>
        </w:rPr>
        <w:t>形成咨政</w:t>
      </w:r>
      <w:r>
        <w:rPr>
          <w:rFonts w:hint="eastAsia" w:ascii="Times New Roman" w:hAnsi="Times New Roman" w:eastAsia="仿宋" w:cs="Times New Roman"/>
          <w:color w:val="auto"/>
          <w:kern w:val="0"/>
          <w:sz w:val="32"/>
          <w:szCs w:val="32"/>
          <w:lang w:val="en-US" w:eastAsia="zh-CN" w:bidi="ar-SA"/>
        </w:rPr>
        <w:t>内参2篇</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获得市领导（副厅级）及以上批示或课题主管/牵头市级部门采纳1次</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3.以中国人民大学长江经济带研究院为署名单位，在省部级及以上媒体发表针对宜宾的文章2篇。</w:t>
      </w:r>
    </w:p>
    <w:p w14:paraId="44DA3421">
      <w:pPr>
        <w:spacing w:after="0" w:line="560" w:lineRule="exact"/>
        <w:ind w:firstLine="643" w:firstLineChars="200"/>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3A69762F">
      <w:pPr>
        <w:widowControl w:val="0"/>
        <w:spacing w:after="0" w:line="560" w:lineRule="exact"/>
        <w:ind w:firstLine="640" w:firstLineChars="200"/>
        <w:jc w:val="both"/>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到宜宾实地调研1次以上，且课题组成员根据研究主题须参与到长江院生态、经济、人才、数据、文化研究中心建设的相关活动，支持长江院进区县进部门相关活动（如参与思想沙龙、长江大讲堂、进高中开展思政课等）；2027年1月31日前提交研究报告初稿，2027年3月进行中期评审，2027年5月完成研究报告结项验收，2027年6月30日前完成全部结项成果指标。</w:t>
      </w:r>
    </w:p>
    <w:p w14:paraId="003519D6">
      <w:pPr>
        <w:pStyle w:val="2"/>
        <w:rPr>
          <w:rFonts w:hint="eastAsia"/>
          <w:lang w:val="en-US" w:eastAsia="zh-CN"/>
        </w:rPr>
      </w:pPr>
    </w:p>
    <w:p w14:paraId="3AA90775">
      <w:pPr>
        <w:numPr>
          <w:ilvl w:val="0"/>
          <w:numId w:val="1"/>
        </w:numPr>
        <w:spacing w:after="0" w:line="560" w:lineRule="exact"/>
        <w:ind w:firstLine="640" w:firstLineChars="200"/>
        <w:rPr>
          <w:rFonts w:hint="eastAsia" w:ascii="Times New Roman" w:hAnsi="Times New Roman" w:eastAsia="黑体" w:cs="Times New Roman"/>
          <w:color w:val="auto"/>
          <w:kern w:val="2"/>
          <w:sz w:val="32"/>
          <w:szCs w:val="32"/>
          <w:shd w:val="clear"/>
          <w:lang w:val="en-US" w:eastAsia="zh-CN" w:bidi="ar-SA"/>
        </w:rPr>
      </w:pPr>
      <w:r>
        <w:rPr>
          <w:rFonts w:hint="eastAsia" w:ascii="Times New Roman" w:hAnsi="Times New Roman" w:eastAsia="黑体" w:cs="Times New Roman"/>
          <w:color w:val="auto"/>
          <w:kern w:val="2"/>
          <w:sz w:val="32"/>
          <w:szCs w:val="32"/>
          <w:shd w:val="clear"/>
          <w:lang w:eastAsia="zh-CN" w:bidi="ar-SA"/>
        </w:rPr>
        <w:t>宜宾市人工智能赋能优势产业高质量发展研究</w:t>
      </w:r>
      <w:r>
        <w:rPr>
          <w:rFonts w:hint="eastAsia" w:ascii="Times New Roman" w:hAnsi="Times New Roman" w:eastAsia="黑体" w:cs="Times New Roman"/>
          <w:color w:val="auto"/>
          <w:kern w:val="2"/>
          <w:sz w:val="32"/>
          <w:szCs w:val="32"/>
          <w:shd w:val="clear"/>
          <w:lang w:val="en-US" w:eastAsia="zh-CN" w:bidi="ar-SA"/>
        </w:rPr>
        <w:t>（20万元经费预算）</w:t>
      </w:r>
    </w:p>
    <w:p w14:paraId="4968DA22">
      <w:pPr>
        <w:numPr>
          <w:ilvl w:val="0"/>
          <w:numId w:val="0"/>
        </w:numPr>
        <w:spacing w:after="0" w:line="560" w:lineRule="exact"/>
        <w:ind w:firstLine="643" w:firstLineChars="200"/>
        <w:rPr>
          <w:rFonts w:ascii="Times New Roman" w:hAnsi="Times New Roman" w:eastAsia="仿宋_GB2312" w:cs="Times New Roman"/>
          <w:color w:val="auto"/>
          <w:sz w:val="32"/>
          <w:szCs w:val="32"/>
        </w:rPr>
      </w:pPr>
      <w:r>
        <w:rPr>
          <w:rFonts w:hint="eastAsia" w:ascii="Times New Roman" w:hAnsi="Times New Roman" w:eastAsia="楷体" w:cs="Times New Roman"/>
          <w:b/>
          <w:bCs/>
          <w:color w:val="auto"/>
          <w:kern w:val="0"/>
          <w:sz w:val="32"/>
          <w:szCs w:val="32"/>
        </w:rPr>
        <w:t>研究背景：</w:t>
      </w:r>
      <w:r>
        <w:rPr>
          <w:rFonts w:hint="eastAsia" w:ascii="Times New Roman" w:hAnsi="Times New Roman" w:eastAsia="仿宋" w:cs="Times New Roman"/>
          <w:color w:val="auto"/>
          <w:kern w:val="0"/>
          <w:sz w:val="32"/>
          <w:szCs w:val="32"/>
        </w:rPr>
        <w:t>人工智能是引领新一轮科技革命和产业变革的战略性技术，是发展新质生产力的重要引擎。国家层面将深化拓展</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人工智能+</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行动作为重要战略部署，推动人工智能产业发展和重点行业领域商业化规模化应用。四川省明确提出深入推进人工智能赋能新型工业化行动，加快人工智能产业布局。宜宾作为长江首城和成渝地区重要节点城市，正处于产业转型升级的关键期，拥有动力电池、智能终端、高端装备等优势产业基础，同时也具备发展人工智能产业的良好条件。当前，人工智能产业正呈现快速发展态势，具身智能机器人等新兴领域成为重要增长点，但宜宾在人工智能产业整体布局、核心企业培育、应用场景开发等方面仍有提升空间。在此背景下，系统研究宜宾人工智能产业发展路径及赋能优势产业高质量发展策略，既是落实国家人工智能发展战略的必然要求，也是推动宜宾培育新经济增长点、实现产业能级跃升的现实需要。</w:t>
      </w:r>
    </w:p>
    <w:p w14:paraId="729638E9">
      <w:pPr>
        <w:spacing w:after="0" w:line="560" w:lineRule="exact"/>
        <w:ind w:firstLine="643" w:firstLineChars="200"/>
        <w:rPr>
          <w:rFonts w:hint="eastAsia"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rPr>
        <w:t>研究内容：</w:t>
      </w:r>
    </w:p>
    <w:p w14:paraId="3D61360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 w:cs="Times New Roman"/>
          <w:color w:val="auto"/>
          <w:kern w:val="0"/>
          <w:sz w:val="32"/>
          <w:szCs w:val="32"/>
        </w:rPr>
      </w:pPr>
      <w:r>
        <w:rPr>
          <w:rFonts w:hint="eastAsia" w:ascii="Times New Roman" w:hAnsi="Times New Roman" w:eastAsia="仿宋" w:cs="Times New Roman"/>
          <w:color w:val="auto"/>
          <w:kern w:val="0"/>
          <w:sz w:val="32"/>
          <w:szCs w:val="32"/>
        </w:rPr>
        <w:t>1.宜宾人工智能产业发展现状评估。系统梳理宜宾人工智能产业整体布局、企业主体、人才储备、技术平台等基础情况；评估具身智能、AIDC基础设施、AI垂类应用等细分领域发展现状；研判宜宾人工智能产业发展的资源禀赋与比较优势。</w:t>
      </w:r>
    </w:p>
    <w:p w14:paraId="7EBA512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 w:cs="Times New Roman"/>
          <w:color w:val="auto"/>
          <w:kern w:val="0"/>
          <w:sz w:val="32"/>
          <w:szCs w:val="32"/>
        </w:rPr>
      </w:pPr>
      <w:r>
        <w:rPr>
          <w:rFonts w:hint="eastAsia" w:ascii="Times New Roman" w:hAnsi="Times New Roman" w:eastAsia="仿宋" w:cs="Times New Roman"/>
          <w:color w:val="auto"/>
          <w:kern w:val="0"/>
          <w:sz w:val="32"/>
          <w:szCs w:val="32"/>
        </w:rPr>
        <w:t>2.人工智能产业重点方向与发展路径研究。研究国内外人工智能产业发展趋势，结合宜宾实际，分析具身智能、AIDC基础设施、AI垂类应用等重点方向的发展潜力；探索人工智能产业链构建路径，研究核心企业引育、上下游配套、产业集群打造等策略。</w:t>
      </w:r>
    </w:p>
    <w:p w14:paraId="39C55E3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 w:cs="Times New Roman"/>
          <w:color w:val="auto"/>
          <w:kern w:val="0"/>
          <w:sz w:val="32"/>
          <w:szCs w:val="32"/>
        </w:rPr>
      </w:pPr>
      <w:r>
        <w:rPr>
          <w:rFonts w:hint="eastAsia" w:ascii="Times New Roman" w:hAnsi="Times New Roman" w:eastAsia="仿宋" w:cs="Times New Roman"/>
          <w:color w:val="auto"/>
          <w:kern w:val="0"/>
          <w:sz w:val="32"/>
          <w:szCs w:val="32"/>
        </w:rPr>
        <w:t>3.人工智能赋能优势产业应用场景研究。聚焦宜宾动力电池、智能终端、高端装备等优势产业，研究人工智能在研发设计、生产制造、质量管控、供应链管理等环节的应用场景；探索</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AI+产业</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融合创新模式，分析人工智能在产业数字化转型中的技术应用方向与商业化落地路径。</w:t>
      </w:r>
    </w:p>
    <w:p w14:paraId="632E764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 w:cs="Times New Roman"/>
          <w:color w:val="auto"/>
          <w:kern w:val="0"/>
          <w:sz w:val="32"/>
          <w:szCs w:val="32"/>
        </w:rPr>
      </w:pPr>
      <w:r>
        <w:rPr>
          <w:rFonts w:hint="eastAsia" w:ascii="Times New Roman" w:hAnsi="Times New Roman" w:eastAsia="仿宋" w:cs="Times New Roman"/>
          <w:color w:val="auto"/>
          <w:kern w:val="0"/>
          <w:sz w:val="32"/>
          <w:szCs w:val="32"/>
        </w:rPr>
        <w:t>4.人工智能产业生态与政策保障体系研究。梳理国家、省、市层面人工智能产业相关政策，研究产业生态构建模式；重点研究人才引进培育、数据要素流通、算力基础设施、金融支持等配套政策优化路径；构建政府、企业、高校、科研机构多方协同推进机制。</w:t>
      </w:r>
    </w:p>
    <w:p w14:paraId="7E85272B">
      <w:pPr>
        <w:spacing w:after="0" w:line="560" w:lineRule="exact"/>
        <w:ind w:firstLine="643" w:firstLineChars="200"/>
        <w:rPr>
          <w:rFonts w:hint="eastAsia"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hint="eastAsia"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hint="eastAsia" w:ascii="Times New Roman" w:hAnsi="Times New Roman" w:eastAsia="楷体" w:cs="Times New Roman"/>
          <w:b/>
          <w:bCs/>
          <w:color w:val="auto"/>
          <w:kern w:val="0"/>
          <w:sz w:val="32"/>
          <w:szCs w:val="32"/>
        </w:rPr>
        <w:t>：</w:t>
      </w:r>
    </w:p>
    <w:p w14:paraId="30ED7B1B">
      <w:pPr>
        <w:spacing w:after="0" w:line="560" w:lineRule="exact"/>
        <w:ind w:firstLine="640" w:firstLineChars="200"/>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rPr>
        <w:t>1.</w:t>
      </w:r>
      <w:r>
        <w:rPr>
          <w:rFonts w:hint="eastAsia" w:ascii="Times New Roman" w:hAnsi="Times New Roman" w:eastAsia="仿宋" w:cs="Times New Roman"/>
          <w:color w:val="auto"/>
          <w:kern w:val="0"/>
          <w:sz w:val="32"/>
          <w:szCs w:val="32"/>
          <w:lang w:val="en-US" w:eastAsia="zh-CN"/>
        </w:rPr>
        <w:t>按研究内容，高质量形成3万字以上的深度研究报告，研究报告包括但不限于</w:t>
      </w:r>
      <w:r>
        <w:rPr>
          <w:rFonts w:hint="eastAsia" w:ascii="Times New Roman" w:hAnsi="Times New Roman" w:eastAsia="仿宋" w:cs="Times New Roman"/>
          <w:color w:val="auto"/>
          <w:kern w:val="0"/>
          <w:sz w:val="32"/>
          <w:szCs w:val="32"/>
        </w:rPr>
        <w:t>宜宾人工智能产业发展现状评估报告</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宜宾人工智能产业发展方向与路径建议</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AI+产业</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融合应用实施方案</w:t>
      </w:r>
      <w:r>
        <w:rPr>
          <w:rFonts w:hint="eastAsia" w:ascii="Times New Roman" w:hAnsi="Times New Roman" w:eastAsia="仿宋" w:cs="Times New Roman"/>
          <w:color w:val="auto"/>
          <w:kern w:val="0"/>
          <w:sz w:val="32"/>
          <w:szCs w:val="32"/>
          <w:lang w:eastAsia="zh-CN"/>
        </w:rPr>
        <w:t>、</w:t>
      </w:r>
      <w:r>
        <w:rPr>
          <w:rFonts w:hint="eastAsia" w:ascii="Times New Roman" w:hAnsi="Times New Roman" w:eastAsia="仿宋" w:cs="Times New Roman"/>
          <w:color w:val="auto"/>
          <w:kern w:val="0"/>
          <w:sz w:val="32"/>
          <w:szCs w:val="32"/>
        </w:rPr>
        <w:t>人工智能产业政策保障体系</w:t>
      </w:r>
      <w:r>
        <w:rPr>
          <w:rFonts w:hint="eastAsia" w:ascii="Times New Roman" w:hAnsi="Times New Roman" w:eastAsia="仿宋" w:cs="Times New Roman"/>
          <w:color w:val="auto"/>
          <w:kern w:val="0"/>
          <w:sz w:val="32"/>
          <w:szCs w:val="32"/>
          <w:lang w:val="en-US" w:eastAsia="zh-CN"/>
        </w:rPr>
        <w:t>等方面；</w:t>
      </w:r>
      <w:r>
        <w:rPr>
          <w:rFonts w:hint="eastAsia" w:ascii="Times New Roman" w:hAnsi="Times New Roman" w:eastAsia="仿宋" w:cs="Times New Roman"/>
          <w:color w:val="auto"/>
          <w:kern w:val="0"/>
          <w:sz w:val="32"/>
          <w:szCs w:val="32"/>
          <w:lang w:val="en-US" w:eastAsia="zh-CN" w:bidi="ar-SA"/>
        </w:rPr>
        <w:t>2.以中国人民大学长江经济带研究院（或课题项目）为署名单位</w:t>
      </w:r>
      <w:r>
        <w:rPr>
          <w:rFonts w:ascii="Times New Roman" w:hAnsi="Times New Roman" w:eastAsia="仿宋" w:cs="Times New Roman"/>
          <w:color w:val="auto"/>
          <w:kern w:val="0"/>
          <w:sz w:val="32"/>
          <w:szCs w:val="32"/>
          <w:lang w:val="en-US" w:eastAsia="zh-CN" w:bidi="ar-SA"/>
        </w:rPr>
        <w:t>形</w:t>
      </w:r>
      <w:r>
        <w:rPr>
          <w:rFonts w:hint="eastAsia" w:ascii="Times New Roman" w:hAnsi="Times New Roman" w:eastAsia="仿宋" w:cs="Times New Roman"/>
          <w:color w:val="auto"/>
          <w:kern w:val="0"/>
          <w:sz w:val="32"/>
          <w:szCs w:val="32"/>
          <w:lang w:val="en-US" w:eastAsia="zh-CN" w:bidi="ar-SA"/>
        </w:rPr>
        <w:t>成咨政内参2篇</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市领导（副厅级）及以上批示或课题主管/牵头市级部门采纳1次</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3.以中国人民大学长江经济带研究院为署名单位，在省部级及以上媒体发表针对宜宾的文章2篇。</w:t>
      </w:r>
    </w:p>
    <w:p w14:paraId="5CE88359">
      <w:pPr>
        <w:spacing w:after="0" w:line="560" w:lineRule="exact"/>
        <w:ind w:firstLine="643" w:firstLineChars="200"/>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4DD77E2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课题负责人带队到宜宾实地调研1次以上，且课题组成员根据研究主题须参与到长江院生态、经济、人才、数据、文化研究中心建设的相关活动，支持长江院进区县进部门相关活动（如参与思想沙龙、长江大讲堂、进高中开展思政课等）；2027年1月31日前提交研究报告初稿，2027年3月进行中期评审，2027年5月完成研究报告结项验收，2027年6月30日前完成全部结项成果指标。</w:t>
      </w:r>
    </w:p>
    <w:p w14:paraId="6C11CF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D5A6A"/>
    <w:multiLevelType w:val="singleLevel"/>
    <w:tmpl w:val="9BBD5A6A"/>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57661B"/>
    <w:rsid w:val="1EF65C58"/>
    <w:rsid w:val="7357661B"/>
    <w:rsid w:val="7B813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3"/>
    <w:unhideWhenUsed/>
    <w:qFormat/>
    <w:uiPriority w:val="99"/>
    <w:pPr>
      <w:widowControl w:val="0"/>
      <w:spacing w:before="100" w:beforeAutospacing="1" w:after="120"/>
      <w:jc w:val="both"/>
    </w:pPr>
    <w:rPr>
      <w:rFonts w:ascii="Times New Roman" w:hAnsi="Times New Roman" w:eastAsia="宋体" w:cstheme="minorBidi"/>
      <w:kern w:val="2"/>
      <w:sz w:val="21"/>
      <w:szCs w:val="24"/>
      <w:lang w:val="en-US" w:eastAsia="zh-CN" w:bidi="ar-SA"/>
    </w:rPr>
  </w:style>
  <w:style w:type="paragraph" w:styleId="3">
    <w:name w:val="Title"/>
    <w:next w:val="1"/>
    <w:qFormat/>
    <w:uiPriority w:val="0"/>
    <w:pPr>
      <w:widowControl w:val="0"/>
      <w:spacing w:line="600" w:lineRule="exact"/>
      <w:jc w:val="center"/>
      <w:outlineLvl w:val="0"/>
    </w:pPr>
    <w:rPr>
      <w:rFonts w:ascii="Arial" w:hAnsi="Arial" w:eastAsia="方正小标宋_GBK" w:cstheme="minorBidi"/>
      <w:kern w:val="2"/>
      <w:sz w:val="4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8168</Words>
  <Characters>8459</Characters>
  <Lines>0</Lines>
  <Paragraphs>0</Paragraphs>
  <TotalTime>0</TotalTime>
  <ScaleCrop>false</ScaleCrop>
  <LinksUpToDate>false</LinksUpToDate>
  <CharactersWithSpaces>8459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2026-09-08T02:42:00Z</dcterms:created>
  <dc:creator>小馬</dc:creator>
  <cp:lastModifiedBy>小馬</cp:lastModifiedBy>
  <dcterms:modified xsi:type="dcterms:W3CDTF">2026-09-08T02:56:52Z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FF71F1F5C8A640CCA49C13E6D491564F_11</vt:lpwstr>
  </property>
  <property fmtid="{D5CDD505-2E9C-101B-9397-08002B2CF9AE}" pid="4" name="KSOTemplateDocerSaveRecord">
    <vt:lpwstr>eyJoZGlkIjoiYjE2M2Y3MWFkMWRlZDExN2U5M2JkMzYxZTEzMThlYTgiLCJ1c2VySWQiOiIyNzY5NTUxODMifQ==</vt:lpwstr>
  </property>
</Properties>
</file>