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0E916" w14:textId="77777777" w:rsidR="008862DB" w:rsidRDefault="00000000">
      <w:pPr>
        <w:pStyle w:val="a6"/>
        <w:spacing w:beforeLines="50" w:before="221" w:afterLines="50" w:after="221" w:line="640" w:lineRule="exact"/>
        <w:jc w:val="center"/>
        <w:rPr>
          <w:rFonts w:ascii="方正小标宋简体" w:eastAsia="方正小标宋简体" w:hAnsi="方正小标宋简体" w:cs="方正小标宋简体"/>
          <w:kern w:val="2"/>
          <w:sz w:val="44"/>
          <w:szCs w:val="44"/>
        </w:rPr>
      </w:pPr>
      <w:r>
        <w:rPr>
          <w:rFonts w:ascii="方正小标宋简体" w:eastAsia="方正小标宋简体" w:hAnsi="方正小标宋简体" w:cs="方正小标宋简体" w:hint="eastAsia"/>
          <w:kern w:val="2"/>
          <w:sz w:val="44"/>
          <w:szCs w:val="44"/>
        </w:rPr>
        <w:t>中国人民大学福州研究院2026年第一批</w:t>
      </w:r>
    </w:p>
    <w:p w14:paraId="68EAD0E6" w14:textId="77777777" w:rsidR="008862DB" w:rsidRDefault="00000000">
      <w:pPr>
        <w:pStyle w:val="a6"/>
        <w:spacing w:beforeLines="50" w:before="221" w:afterLines="50" w:after="221" w:line="640" w:lineRule="exact"/>
        <w:jc w:val="center"/>
        <w:rPr>
          <w:rFonts w:ascii="方正小标宋简体" w:eastAsia="方正小标宋简体" w:hAnsi="方正小标宋简体" w:cs="方正小标宋简体"/>
          <w:kern w:val="2"/>
          <w:sz w:val="44"/>
          <w:szCs w:val="44"/>
        </w:rPr>
      </w:pPr>
      <w:r>
        <w:rPr>
          <w:rFonts w:ascii="方正小标宋简体" w:eastAsia="方正小标宋简体" w:hAnsi="方正小标宋简体" w:cs="方正小标宋简体" w:hint="eastAsia"/>
          <w:kern w:val="2"/>
          <w:sz w:val="44"/>
          <w:szCs w:val="44"/>
        </w:rPr>
        <w:t>课题研究项目申报指南</w:t>
      </w:r>
    </w:p>
    <w:p w14:paraId="135CF494" w14:textId="77777777" w:rsidR="008862DB" w:rsidRDefault="008862DB">
      <w:pPr>
        <w:pStyle w:val="a6"/>
        <w:spacing w:beforeLines="50" w:before="221" w:afterLines="50" w:after="221" w:line="560" w:lineRule="exact"/>
        <w:rPr>
          <w:rFonts w:eastAsia="黑体" w:cs="Times New Roman"/>
          <w:szCs w:val="32"/>
        </w:rPr>
      </w:pPr>
    </w:p>
    <w:p w14:paraId="701F9041" w14:textId="77777777" w:rsidR="008862DB" w:rsidRDefault="00000000">
      <w:pPr>
        <w:pStyle w:val="a6"/>
        <w:spacing w:beforeLines="50" w:before="221" w:afterLines="50" w:after="221" w:line="560" w:lineRule="exact"/>
        <w:rPr>
          <w:rFonts w:eastAsia="黑体" w:cs="Times New Roman"/>
          <w:szCs w:val="32"/>
        </w:rPr>
      </w:pPr>
      <w:r>
        <w:rPr>
          <w:rFonts w:eastAsia="黑体" w:cs="Times New Roman" w:hint="eastAsia"/>
          <w:szCs w:val="32"/>
        </w:rPr>
        <w:t>一、“两个结合”语境</w:t>
      </w:r>
      <w:proofErr w:type="gramStart"/>
      <w:r>
        <w:rPr>
          <w:rFonts w:eastAsia="黑体" w:cs="Times New Roman" w:hint="eastAsia"/>
          <w:szCs w:val="32"/>
        </w:rPr>
        <w:t>下闽都历史</w:t>
      </w:r>
      <w:proofErr w:type="gramEnd"/>
      <w:r>
        <w:rPr>
          <w:rFonts w:eastAsia="黑体" w:cs="Times New Roman" w:hint="eastAsia"/>
          <w:szCs w:val="32"/>
        </w:rPr>
        <w:t>文化研究（</w:t>
      </w:r>
      <w:r>
        <w:rPr>
          <w:rFonts w:eastAsia="黑体" w:cs="Times New Roman" w:hint="eastAsia"/>
          <w:szCs w:val="32"/>
        </w:rPr>
        <w:t>40</w:t>
      </w:r>
      <w:r>
        <w:rPr>
          <w:rFonts w:eastAsia="黑体" w:cs="Times New Roman" w:hint="eastAsia"/>
          <w:szCs w:val="32"/>
        </w:rPr>
        <w:t>万）</w:t>
      </w:r>
    </w:p>
    <w:p w14:paraId="05EDFA30" w14:textId="77777777" w:rsidR="008862DB" w:rsidRDefault="00000000">
      <w:pPr>
        <w:pStyle w:val="a6"/>
        <w:spacing w:line="560" w:lineRule="exact"/>
        <w:ind w:firstLineChars="200" w:firstLine="640"/>
        <w:rPr>
          <w:rFonts w:eastAsia="仿宋" w:cs="Times New Roman"/>
          <w:szCs w:val="32"/>
        </w:rPr>
      </w:pPr>
      <w:r>
        <w:rPr>
          <w:rFonts w:eastAsia="楷体" w:cs="Times New Roman" w:hint="eastAsia"/>
          <w:szCs w:val="32"/>
        </w:rPr>
        <w:t>课题说明：</w:t>
      </w:r>
      <w:r>
        <w:rPr>
          <w:rFonts w:eastAsia="仿宋" w:cs="Times New Roman" w:hint="eastAsia"/>
          <w:szCs w:val="32"/>
        </w:rPr>
        <w:t>本课题</w:t>
      </w:r>
      <w:proofErr w:type="gramStart"/>
      <w:r>
        <w:rPr>
          <w:rFonts w:eastAsia="仿宋" w:cs="Times New Roman" w:hint="eastAsia"/>
          <w:szCs w:val="32"/>
        </w:rPr>
        <w:t>以闽都文化</w:t>
      </w:r>
      <w:proofErr w:type="gramEnd"/>
      <w:r>
        <w:rPr>
          <w:rFonts w:eastAsia="仿宋" w:cs="Times New Roman" w:hint="eastAsia"/>
          <w:szCs w:val="32"/>
        </w:rPr>
        <w:t>为核心研究对象，聚焦福州历史发展脉络、</w:t>
      </w:r>
      <w:proofErr w:type="gramStart"/>
      <w:r>
        <w:rPr>
          <w:rFonts w:eastAsia="仿宋" w:cs="Times New Roman" w:hint="eastAsia"/>
          <w:szCs w:val="32"/>
        </w:rPr>
        <w:t>闽都文化</w:t>
      </w:r>
      <w:proofErr w:type="gramEnd"/>
      <w:r>
        <w:rPr>
          <w:rFonts w:eastAsia="仿宋" w:cs="Times New Roman" w:hint="eastAsia"/>
          <w:szCs w:val="32"/>
        </w:rPr>
        <w:t>形成演进过程、表象特征与内在肌理；系统</w:t>
      </w:r>
      <w:proofErr w:type="gramStart"/>
      <w:r>
        <w:rPr>
          <w:rFonts w:eastAsia="仿宋" w:cs="Times New Roman" w:hint="eastAsia"/>
          <w:szCs w:val="32"/>
        </w:rPr>
        <w:t>梳理闽都文化</w:t>
      </w:r>
      <w:proofErr w:type="gramEnd"/>
      <w:r>
        <w:rPr>
          <w:rFonts w:eastAsia="仿宋" w:cs="Times New Roman" w:hint="eastAsia"/>
          <w:szCs w:val="32"/>
        </w:rPr>
        <w:t>与其他地域文化的关联，</w:t>
      </w:r>
      <w:proofErr w:type="gramStart"/>
      <w:r>
        <w:rPr>
          <w:rFonts w:eastAsia="仿宋" w:cs="Times New Roman" w:hint="eastAsia"/>
          <w:szCs w:val="32"/>
        </w:rPr>
        <w:t>深挖闽都文化</w:t>
      </w:r>
      <w:proofErr w:type="gramEnd"/>
      <w:r>
        <w:rPr>
          <w:rFonts w:eastAsia="仿宋" w:cs="Times New Roman" w:hint="eastAsia"/>
          <w:szCs w:val="32"/>
        </w:rPr>
        <w:t>与中华文明的深层内在联系；</w:t>
      </w:r>
      <w:proofErr w:type="gramStart"/>
      <w:r>
        <w:rPr>
          <w:rFonts w:eastAsia="仿宋" w:cs="Times New Roman" w:hint="eastAsia"/>
          <w:szCs w:val="32"/>
        </w:rPr>
        <w:t>探索闽都文化</w:t>
      </w:r>
      <w:proofErr w:type="gramEnd"/>
      <w:r>
        <w:rPr>
          <w:rFonts w:eastAsia="仿宋" w:cs="Times New Roman" w:hint="eastAsia"/>
          <w:szCs w:val="32"/>
        </w:rPr>
        <w:t>国际化传播有效路径，</w:t>
      </w:r>
      <w:proofErr w:type="gramStart"/>
      <w:r>
        <w:rPr>
          <w:rFonts w:eastAsia="仿宋" w:cs="Times New Roman" w:hint="eastAsia"/>
          <w:szCs w:val="32"/>
        </w:rPr>
        <w:t>推进闽都文化</w:t>
      </w:r>
      <w:proofErr w:type="gramEnd"/>
      <w:r>
        <w:rPr>
          <w:rFonts w:eastAsia="仿宋" w:cs="Times New Roman" w:hint="eastAsia"/>
          <w:szCs w:val="32"/>
        </w:rPr>
        <w:t>民俗落地、红色基因传承与革命文物保护利用研究。课题采用历史学、社会学、传播学、民俗学、考古学等多学科综合研究方法，</w:t>
      </w:r>
      <w:proofErr w:type="gramStart"/>
      <w:r>
        <w:rPr>
          <w:rFonts w:eastAsia="仿宋" w:cs="Times New Roman" w:hint="eastAsia"/>
          <w:szCs w:val="32"/>
        </w:rPr>
        <w:t>深化闽都文化</w:t>
      </w:r>
      <w:proofErr w:type="gramEnd"/>
      <w:r>
        <w:rPr>
          <w:rFonts w:eastAsia="仿宋" w:cs="Times New Roman" w:hint="eastAsia"/>
          <w:szCs w:val="32"/>
        </w:rPr>
        <w:t>与闽地文化、中华文明、海洋文明的交流互鉴，从历史维度、价值维度、实践维度、国际维</w:t>
      </w:r>
      <w:proofErr w:type="gramStart"/>
      <w:r>
        <w:rPr>
          <w:rFonts w:eastAsia="仿宋" w:cs="Times New Roman" w:hint="eastAsia"/>
          <w:szCs w:val="32"/>
        </w:rPr>
        <w:t>度系统阐释闽都</w:t>
      </w:r>
      <w:proofErr w:type="gramEnd"/>
      <w:r>
        <w:rPr>
          <w:rFonts w:eastAsia="仿宋" w:cs="Times New Roman" w:hint="eastAsia"/>
          <w:szCs w:val="32"/>
        </w:rPr>
        <w:t>文化的历史价值与时代意义，</w:t>
      </w:r>
      <w:proofErr w:type="gramStart"/>
      <w:r>
        <w:rPr>
          <w:rFonts w:eastAsia="仿宋" w:cs="Times New Roman" w:hint="eastAsia"/>
          <w:szCs w:val="32"/>
        </w:rPr>
        <w:t>为闽都文化</w:t>
      </w:r>
      <w:proofErr w:type="gramEnd"/>
      <w:r>
        <w:rPr>
          <w:rFonts w:eastAsia="仿宋" w:cs="Times New Roman" w:hint="eastAsia"/>
          <w:szCs w:val="32"/>
        </w:rPr>
        <w:t>保护传承、活化利用与对外传播提供学理支撑与决策参考。</w:t>
      </w:r>
    </w:p>
    <w:p w14:paraId="15A3BE8F" w14:textId="77777777" w:rsidR="008862DB" w:rsidRDefault="00000000">
      <w:pPr>
        <w:pStyle w:val="a6"/>
        <w:spacing w:line="560" w:lineRule="exact"/>
        <w:ind w:firstLineChars="200" w:firstLine="640"/>
        <w:rPr>
          <w:rFonts w:eastAsia="仿宋" w:cs="Times New Roman"/>
          <w:szCs w:val="32"/>
        </w:rPr>
      </w:pPr>
      <w:proofErr w:type="gramStart"/>
      <w:r>
        <w:rPr>
          <w:rFonts w:eastAsia="楷体" w:cs="Times New Roman" w:hint="eastAsia"/>
          <w:szCs w:val="32"/>
        </w:rPr>
        <w:t>结项要求</w:t>
      </w:r>
      <w:proofErr w:type="gramEnd"/>
      <w:r>
        <w:rPr>
          <w:rFonts w:eastAsia="楷体" w:cs="Times New Roman"/>
          <w:szCs w:val="32"/>
        </w:rPr>
        <w:t>：</w:t>
      </w:r>
      <w:r>
        <w:rPr>
          <w:rFonts w:eastAsia="仿宋" w:cs="Times New Roman" w:hint="eastAsia"/>
          <w:szCs w:val="32"/>
        </w:rPr>
        <w:t>一是提交</w:t>
      </w:r>
      <w:r>
        <w:rPr>
          <w:rFonts w:eastAsia="仿宋" w:cs="Times New Roman" w:hint="eastAsia"/>
          <w:szCs w:val="32"/>
        </w:rPr>
        <w:t>1.5</w:t>
      </w:r>
      <w:r>
        <w:rPr>
          <w:rFonts w:eastAsia="仿宋" w:cs="Times New Roman" w:hint="eastAsia"/>
          <w:szCs w:val="32"/>
        </w:rPr>
        <w:t>万字及以上高质量研究报告</w:t>
      </w:r>
      <w:r>
        <w:rPr>
          <w:rFonts w:eastAsia="仿宋" w:cs="Times New Roman" w:hint="eastAsia"/>
          <w:szCs w:val="32"/>
        </w:rPr>
        <w:t>2</w:t>
      </w:r>
      <w:r>
        <w:rPr>
          <w:rFonts w:eastAsia="仿宋" w:cs="Times New Roman" w:hint="eastAsia"/>
          <w:szCs w:val="32"/>
        </w:rPr>
        <w:t>篇（含</w:t>
      </w:r>
      <w:r>
        <w:rPr>
          <w:rFonts w:eastAsia="仿宋" w:cs="Times New Roman" w:hint="eastAsia"/>
          <w:szCs w:val="32"/>
        </w:rPr>
        <w:t>2000</w:t>
      </w:r>
      <w:r>
        <w:rPr>
          <w:rFonts w:eastAsia="仿宋" w:cs="Times New Roman" w:hint="eastAsia"/>
          <w:szCs w:val="32"/>
        </w:rPr>
        <w:t>字摘要），报告</w:t>
      </w:r>
      <w:proofErr w:type="gramStart"/>
      <w:r>
        <w:rPr>
          <w:rFonts w:eastAsia="仿宋" w:cs="Times New Roman" w:hint="eastAsia"/>
          <w:szCs w:val="32"/>
        </w:rPr>
        <w:t>需观点</w:t>
      </w:r>
      <w:proofErr w:type="gramEnd"/>
      <w:r>
        <w:rPr>
          <w:rFonts w:eastAsia="仿宋" w:cs="Times New Roman" w:hint="eastAsia"/>
          <w:szCs w:val="32"/>
        </w:rPr>
        <w:t>明确、论证充分、资料翔实，符合学术规范与决策咨询要求；</w:t>
      </w:r>
      <w:r>
        <w:rPr>
          <w:rFonts w:eastAsia="仿宋" w:cs="Times New Roman" w:hint="eastAsia"/>
          <w:color w:val="000000" w:themeColor="text1"/>
          <w:szCs w:val="32"/>
        </w:rPr>
        <w:t>二是以课题研究为基础、以福州研究院为署名单位撰写内参</w:t>
      </w:r>
      <w:proofErr w:type="gramStart"/>
      <w:r>
        <w:rPr>
          <w:rFonts w:eastAsia="仿宋" w:cs="Times New Roman" w:hint="eastAsia"/>
          <w:color w:val="000000" w:themeColor="text1"/>
          <w:szCs w:val="32"/>
        </w:rPr>
        <w:t>咨</w:t>
      </w:r>
      <w:proofErr w:type="gramEnd"/>
      <w:r>
        <w:rPr>
          <w:rFonts w:eastAsia="仿宋" w:cs="Times New Roman" w:hint="eastAsia"/>
          <w:color w:val="000000" w:themeColor="text1"/>
          <w:szCs w:val="32"/>
        </w:rPr>
        <w:t>政报告，并获得省部级正式采纳或批示</w:t>
      </w:r>
      <w:r>
        <w:rPr>
          <w:rFonts w:eastAsia="仿宋" w:cs="Times New Roman" w:hint="eastAsia"/>
          <w:color w:val="000000" w:themeColor="text1"/>
          <w:szCs w:val="32"/>
        </w:rPr>
        <w:t>1</w:t>
      </w:r>
      <w:r>
        <w:rPr>
          <w:rFonts w:eastAsia="仿宋" w:cs="Times New Roman" w:hint="eastAsia"/>
          <w:color w:val="000000" w:themeColor="text1"/>
          <w:szCs w:val="32"/>
        </w:rPr>
        <w:t>次，提供有效采纳证明或批示文件；三是以研究报告核心内容为基础，以福州研究院为署名单位，在</w:t>
      </w:r>
      <w:r>
        <w:rPr>
          <w:rFonts w:eastAsia="仿宋" w:cs="Times New Roman" w:hint="eastAsia"/>
          <w:color w:val="000000" w:themeColor="text1"/>
          <w:szCs w:val="32"/>
        </w:rPr>
        <w:t>CSSCI</w:t>
      </w:r>
      <w:r>
        <w:rPr>
          <w:rFonts w:eastAsia="仿宋" w:cs="Times New Roman" w:hint="eastAsia"/>
          <w:color w:val="000000" w:themeColor="text1"/>
          <w:szCs w:val="32"/>
        </w:rPr>
        <w:t>核心期刊（含扩展版）发表相关学术论文</w:t>
      </w:r>
      <w:r>
        <w:rPr>
          <w:rFonts w:eastAsia="仿宋" w:cs="Times New Roman" w:hint="eastAsia"/>
          <w:color w:val="000000" w:themeColor="text1"/>
          <w:szCs w:val="32"/>
        </w:rPr>
        <w:t>1</w:t>
      </w:r>
      <w:r>
        <w:rPr>
          <w:rFonts w:eastAsia="仿宋" w:cs="Times New Roman" w:hint="eastAsia"/>
          <w:color w:val="000000" w:themeColor="text1"/>
          <w:szCs w:val="32"/>
        </w:rPr>
        <w:t>篇及以上或正式出版学术著作</w:t>
      </w:r>
      <w:r>
        <w:rPr>
          <w:rFonts w:eastAsia="仿宋" w:cs="Times New Roman" w:hint="eastAsia"/>
          <w:color w:val="000000" w:themeColor="text1"/>
          <w:szCs w:val="32"/>
        </w:rPr>
        <w:t>1</w:t>
      </w:r>
      <w:r>
        <w:rPr>
          <w:rFonts w:eastAsia="仿宋" w:cs="Times New Roman" w:hint="eastAsia"/>
          <w:color w:val="000000" w:themeColor="text1"/>
          <w:szCs w:val="32"/>
        </w:rPr>
        <w:t>部（著作需完成出版流程并取得书号）；</w:t>
      </w:r>
      <w:r>
        <w:rPr>
          <w:rFonts w:eastAsia="仿宋" w:cs="Times New Roman" w:hint="eastAsia"/>
          <w:szCs w:val="32"/>
        </w:rPr>
        <w:t>四是举办成果发布讲座一场。</w:t>
      </w:r>
    </w:p>
    <w:p w14:paraId="45D2337D" w14:textId="77777777" w:rsidR="008862DB" w:rsidRDefault="00000000">
      <w:pPr>
        <w:pStyle w:val="a6"/>
        <w:spacing w:beforeLines="50" w:before="221" w:afterLines="50" w:after="221" w:line="560" w:lineRule="exact"/>
        <w:rPr>
          <w:rFonts w:eastAsia="黑体" w:cs="Times New Roman"/>
          <w:szCs w:val="32"/>
        </w:rPr>
      </w:pPr>
      <w:r>
        <w:rPr>
          <w:rFonts w:eastAsia="黑体" w:cs="Times New Roman" w:hint="eastAsia"/>
          <w:szCs w:val="32"/>
        </w:rPr>
        <w:lastRenderedPageBreak/>
        <w:t>二</w:t>
      </w:r>
      <w:r>
        <w:rPr>
          <w:rFonts w:eastAsia="黑体" w:cs="Times New Roman"/>
          <w:szCs w:val="32"/>
        </w:rPr>
        <w:t>、</w:t>
      </w:r>
      <w:r>
        <w:rPr>
          <w:rFonts w:eastAsia="黑体" w:cs="Times New Roman" w:hint="eastAsia"/>
          <w:szCs w:val="32"/>
        </w:rPr>
        <w:t>福马融合在两岸融合发展示范区建设、祖国统一中的战略地位、融合路径和政策研究（</w:t>
      </w:r>
      <w:r>
        <w:rPr>
          <w:rFonts w:eastAsia="黑体" w:cs="Times New Roman" w:hint="eastAsia"/>
          <w:szCs w:val="32"/>
        </w:rPr>
        <w:t>30</w:t>
      </w:r>
      <w:r>
        <w:rPr>
          <w:rFonts w:eastAsia="黑体" w:cs="Times New Roman" w:hint="eastAsia"/>
          <w:szCs w:val="32"/>
        </w:rPr>
        <w:t>万）</w:t>
      </w:r>
    </w:p>
    <w:p w14:paraId="2C0E1D73" w14:textId="77777777" w:rsidR="008862DB" w:rsidRDefault="00000000">
      <w:pPr>
        <w:pStyle w:val="a6"/>
        <w:spacing w:line="560" w:lineRule="exact"/>
        <w:ind w:firstLineChars="200" w:firstLine="640"/>
        <w:rPr>
          <w:rFonts w:eastAsia="仿宋" w:cs="Times New Roman"/>
          <w:szCs w:val="32"/>
        </w:rPr>
      </w:pPr>
      <w:r>
        <w:rPr>
          <w:rFonts w:eastAsia="楷体" w:cs="Times New Roman" w:hint="eastAsia"/>
          <w:szCs w:val="32"/>
        </w:rPr>
        <w:t>课题说明</w:t>
      </w:r>
      <w:r>
        <w:rPr>
          <w:rFonts w:eastAsia="楷体" w:cs="Times New Roman"/>
          <w:szCs w:val="32"/>
        </w:rPr>
        <w:t>：</w:t>
      </w:r>
      <w:r>
        <w:rPr>
          <w:rFonts w:eastAsia="仿宋" w:cs="Times New Roman" w:hint="eastAsia"/>
          <w:szCs w:val="32"/>
        </w:rPr>
        <w:t>本课题应围绕以下三方面展开研究：一是解析福马融合的国家战略定位，梳理两岸融合发展示范区的战略要求，论证福州—马祖融合在推进祖国统一中的定位及其象征意义与现实功能。二是比较分析福州与马祖在政治法律、经济制度、社会治理等方面的差异及其对融合的障碍，借鉴厦金、平潭等地对接台湾制度的经验，提出政策互通、法规衔接、管理协调等体制对接策略。三是围绕福马作为两岸融合“战略支点”的定位，设计功能实现路径，探讨建立“两地一中心”合作模式，将福马打造为经贸合作、文化交流和人员往来的枢纽，并设计率先实现部分领域“两岸同步同标”的试点方案，使其成为两岸全面融合的前站和样板。</w:t>
      </w:r>
    </w:p>
    <w:p w14:paraId="348C92DB" w14:textId="77777777" w:rsidR="008862DB" w:rsidRDefault="00000000">
      <w:pPr>
        <w:pStyle w:val="a6"/>
        <w:spacing w:line="560" w:lineRule="exact"/>
        <w:ind w:firstLineChars="200" w:firstLine="640"/>
        <w:rPr>
          <w:rFonts w:eastAsia="仿宋" w:cs="Times New Roman"/>
          <w:strike/>
          <w:szCs w:val="32"/>
        </w:rPr>
      </w:pPr>
      <w:proofErr w:type="gramStart"/>
      <w:r>
        <w:rPr>
          <w:rFonts w:eastAsia="楷体" w:cs="Times New Roman" w:hint="eastAsia"/>
          <w:szCs w:val="32"/>
        </w:rPr>
        <w:t>结项要求</w:t>
      </w:r>
      <w:proofErr w:type="gramEnd"/>
      <w:r>
        <w:rPr>
          <w:rFonts w:eastAsia="楷体" w:cs="Times New Roman"/>
          <w:szCs w:val="32"/>
        </w:rPr>
        <w:t>：</w:t>
      </w:r>
      <w:r>
        <w:rPr>
          <w:rFonts w:eastAsia="仿宋" w:cs="Times New Roman" w:hint="eastAsia"/>
          <w:szCs w:val="32"/>
        </w:rPr>
        <w:t>一是提交</w:t>
      </w:r>
      <w:r>
        <w:rPr>
          <w:rFonts w:eastAsia="仿宋" w:cs="Times New Roman" w:hint="eastAsia"/>
          <w:szCs w:val="32"/>
        </w:rPr>
        <w:t>3</w:t>
      </w:r>
      <w:r>
        <w:rPr>
          <w:rFonts w:eastAsia="仿宋" w:cs="Times New Roman" w:hint="eastAsia"/>
          <w:szCs w:val="32"/>
        </w:rPr>
        <w:t>万字及以上高质量研究报告</w:t>
      </w:r>
      <w:r>
        <w:rPr>
          <w:rFonts w:eastAsia="仿宋" w:cs="Times New Roman" w:hint="eastAsia"/>
          <w:szCs w:val="32"/>
        </w:rPr>
        <w:t>1</w:t>
      </w:r>
      <w:r>
        <w:rPr>
          <w:rFonts w:eastAsia="仿宋" w:cs="Times New Roman" w:hint="eastAsia"/>
          <w:szCs w:val="32"/>
        </w:rPr>
        <w:t>篇（含</w:t>
      </w:r>
      <w:r>
        <w:rPr>
          <w:rFonts w:eastAsia="仿宋" w:cs="Times New Roman" w:hint="eastAsia"/>
          <w:szCs w:val="32"/>
        </w:rPr>
        <w:t>4000</w:t>
      </w:r>
      <w:r>
        <w:rPr>
          <w:rFonts w:eastAsia="仿宋" w:cs="Times New Roman" w:hint="eastAsia"/>
          <w:szCs w:val="32"/>
        </w:rPr>
        <w:t>字摘要），报告</w:t>
      </w:r>
      <w:proofErr w:type="gramStart"/>
      <w:r>
        <w:rPr>
          <w:rFonts w:eastAsia="仿宋" w:cs="Times New Roman" w:hint="eastAsia"/>
          <w:szCs w:val="32"/>
        </w:rPr>
        <w:t>需观点</w:t>
      </w:r>
      <w:proofErr w:type="gramEnd"/>
      <w:r>
        <w:rPr>
          <w:rFonts w:eastAsia="仿宋" w:cs="Times New Roman" w:hint="eastAsia"/>
          <w:szCs w:val="32"/>
        </w:rPr>
        <w:t>明确、论证充分、资料翔实，符合学术规范与决策咨询要求；二是以课题研究为基础、以福州研究院为署名单位撰写内参</w:t>
      </w:r>
      <w:proofErr w:type="gramStart"/>
      <w:r>
        <w:rPr>
          <w:rFonts w:eastAsia="仿宋" w:cs="Times New Roman" w:hint="eastAsia"/>
          <w:szCs w:val="32"/>
        </w:rPr>
        <w:t>咨</w:t>
      </w:r>
      <w:proofErr w:type="gramEnd"/>
      <w:r>
        <w:rPr>
          <w:rFonts w:eastAsia="仿宋" w:cs="Times New Roman" w:hint="eastAsia"/>
          <w:szCs w:val="32"/>
        </w:rPr>
        <w:t>政报告，并获得省部级正式采纳或批示</w:t>
      </w:r>
      <w:r>
        <w:rPr>
          <w:rFonts w:eastAsia="仿宋" w:cs="Times New Roman" w:hint="eastAsia"/>
          <w:szCs w:val="32"/>
        </w:rPr>
        <w:t>1</w:t>
      </w:r>
      <w:r>
        <w:rPr>
          <w:rFonts w:eastAsia="仿宋" w:cs="Times New Roman" w:hint="eastAsia"/>
          <w:szCs w:val="32"/>
        </w:rPr>
        <w:t>次，提供有效采纳证明或批示文件；三是赴福州等地开展实地调研与座谈不少于</w:t>
      </w:r>
      <w:r>
        <w:rPr>
          <w:rFonts w:eastAsia="仿宋" w:cs="Times New Roman" w:hint="eastAsia"/>
          <w:szCs w:val="32"/>
        </w:rPr>
        <w:t>2</w:t>
      </w:r>
      <w:r>
        <w:rPr>
          <w:rFonts w:eastAsia="仿宋" w:cs="Times New Roman" w:hint="eastAsia"/>
          <w:szCs w:val="32"/>
        </w:rPr>
        <w:t>次，广泛收集一手资料，并与福建省及福州市相关部门建立常态化沟通联系机制，推动研究成果落地转化。</w:t>
      </w:r>
    </w:p>
    <w:p w14:paraId="0FEA9961" w14:textId="77777777" w:rsidR="008862DB" w:rsidRDefault="00000000">
      <w:pPr>
        <w:pStyle w:val="a6"/>
        <w:spacing w:beforeLines="50" w:before="221" w:afterLines="50" w:after="221" w:line="560" w:lineRule="exact"/>
        <w:rPr>
          <w:rFonts w:eastAsia="黑体" w:cs="Times New Roman"/>
          <w:szCs w:val="32"/>
        </w:rPr>
      </w:pPr>
      <w:r>
        <w:rPr>
          <w:rFonts w:eastAsia="黑体" w:cs="Times New Roman" w:hint="eastAsia"/>
          <w:szCs w:val="32"/>
        </w:rPr>
        <w:t>三</w:t>
      </w:r>
      <w:r>
        <w:rPr>
          <w:rFonts w:eastAsia="黑体" w:cs="Times New Roman"/>
          <w:szCs w:val="32"/>
        </w:rPr>
        <w:t>、</w:t>
      </w:r>
      <w:r>
        <w:rPr>
          <w:rFonts w:eastAsia="黑体" w:cs="Times New Roman" w:hint="eastAsia"/>
          <w:szCs w:val="32"/>
        </w:rPr>
        <w:t>探索福马产业</w:t>
      </w:r>
      <w:proofErr w:type="gramStart"/>
      <w:r>
        <w:rPr>
          <w:rFonts w:eastAsia="黑体" w:cs="Times New Roman" w:hint="eastAsia"/>
          <w:szCs w:val="32"/>
        </w:rPr>
        <w:t>园特殊</w:t>
      </w:r>
      <w:proofErr w:type="gramEnd"/>
      <w:r>
        <w:rPr>
          <w:rFonts w:eastAsia="黑体" w:cs="Times New Roman" w:hint="eastAsia"/>
          <w:szCs w:val="32"/>
        </w:rPr>
        <w:t>监管政策及实施路径研究（</w:t>
      </w:r>
      <w:r>
        <w:rPr>
          <w:rFonts w:eastAsia="黑体" w:cs="Times New Roman" w:hint="eastAsia"/>
          <w:szCs w:val="32"/>
        </w:rPr>
        <w:t>30</w:t>
      </w:r>
      <w:r>
        <w:rPr>
          <w:rFonts w:eastAsia="黑体" w:cs="Times New Roman" w:hint="eastAsia"/>
          <w:szCs w:val="32"/>
        </w:rPr>
        <w:t>万）</w:t>
      </w:r>
    </w:p>
    <w:p w14:paraId="360ACC18" w14:textId="77777777" w:rsidR="008862DB" w:rsidRDefault="00000000">
      <w:pPr>
        <w:pStyle w:val="a6"/>
        <w:spacing w:line="560" w:lineRule="exact"/>
        <w:ind w:firstLineChars="200" w:firstLine="640"/>
        <w:rPr>
          <w:rFonts w:eastAsia="仿宋" w:cs="Times New Roman"/>
          <w:szCs w:val="32"/>
        </w:rPr>
      </w:pPr>
      <w:r>
        <w:rPr>
          <w:rFonts w:eastAsia="楷体" w:cs="Times New Roman" w:hint="eastAsia"/>
          <w:szCs w:val="32"/>
        </w:rPr>
        <w:t>课题说明</w:t>
      </w:r>
      <w:r>
        <w:rPr>
          <w:rFonts w:eastAsia="楷体" w:cs="Times New Roman"/>
          <w:szCs w:val="32"/>
        </w:rPr>
        <w:t>：</w:t>
      </w:r>
      <w:bookmarkStart w:id="0" w:name="OLE_LINK3"/>
      <w:bookmarkStart w:id="1" w:name="OLE_LINK2"/>
      <w:r>
        <w:rPr>
          <w:rFonts w:eastAsia="仿宋" w:cs="Times New Roman" w:hint="eastAsia"/>
          <w:szCs w:val="32"/>
        </w:rPr>
        <w:t>本课题应围绕福马产业</w:t>
      </w:r>
      <w:proofErr w:type="gramStart"/>
      <w:r>
        <w:rPr>
          <w:rFonts w:eastAsia="仿宋" w:cs="Times New Roman" w:hint="eastAsia"/>
          <w:szCs w:val="32"/>
        </w:rPr>
        <w:t>园特殊</w:t>
      </w:r>
      <w:proofErr w:type="gramEnd"/>
      <w:r>
        <w:rPr>
          <w:rFonts w:eastAsia="仿宋" w:cs="Times New Roman" w:hint="eastAsia"/>
          <w:szCs w:val="32"/>
        </w:rPr>
        <w:t>监管政策展开五方面研究：一是梳理国家和福建省两岸融合发展政策部署，明确园区建设的政策环境与发展定位；二是评估园区建设现状、功能定位及</w:t>
      </w:r>
      <w:r>
        <w:rPr>
          <w:rFonts w:eastAsia="仿宋" w:cs="Times New Roman" w:hint="eastAsia"/>
          <w:szCs w:val="32"/>
        </w:rPr>
        <w:lastRenderedPageBreak/>
        <w:t>现行监管模式的适配性，提炼发展需求与障碍；三是借鉴平潭、横琴、海南自贸区等跨境合作区经验，比较制度创新与监管协同做法；四是围绕贸易便利化、关税优惠、投资税收、金融服务、人员往来及产业准入等方面，提出定制</w:t>
      </w:r>
      <w:proofErr w:type="gramStart"/>
      <w:r>
        <w:rPr>
          <w:rFonts w:eastAsia="仿宋" w:cs="Times New Roman" w:hint="eastAsia"/>
          <w:szCs w:val="32"/>
        </w:rPr>
        <w:t>化特殊</w:t>
      </w:r>
      <w:proofErr w:type="gramEnd"/>
      <w:r>
        <w:rPr>
          <w:rFonts w:eastAsia="仿宋" w:cs="Times New Roman" w:hint="eastAsia"/>
          <w:szCs w:val="32"/>
        </w:rPr>
        <w:t>监管政策方案；五是制定“先易后难、循序渐进”的实施路径，设计从试点到推广的落地步骤及保障措施，形成推动园区制度创新的具体建议。</w:t>
      </w:r>
    </w:p>
    <w:p w14:paraId="574494DA" w14:textId="77777777" w:rsidR="008862DB" w:rsidRDefault="00000000">
      <w:pPr>
        <w:pStyle w:val="a6"/>
        <w:spacing w:line="560" w:lineRule="exact"/>
        <w:ind w:firstLineChars="200" w:firstLine="640"/>
        <w:rPr>
          <w:rFonts w:cs="Times New Roman"/>
          <w:strike/>
        </w:rPr>
      </w:pPr>
      <w:proofErr w:type="gramStart"/>
      <w:r>
        <w:rPr>
          <w:rFonts w:eastAsia="楷体" w:cs="Times New Roman" w:hint="eastAsia"/>
          <w:szCs w:val="32"/>
        </w:rPr>
        <w:t>结项要求</w:t>
      </w:r>
      <w:proofErr w:type="gramEnd"/>
      <w:r>
        <w:rPr>
          <w:rFonts w:eastAsia="楷体" w:cs="Times New Roman"/>
          <w:szCs w:val="32"/>
        </w:rPr>
        <w:t>：</w:t>
      </w:r>
      <w:bookmarkEnd w:id="0"/>
      <w:bookmarkEnd w:id="1"/>
      <w:r>
        <w:rPr>
          <w:rFonts w:eastAsia="仿宋" w:cs="Times New Roman" w:hint="eastAsia"/>
          <w:szCs w:val="32"/>
        </w:rPr>
        <w:t>一是提交</w:t>
      </w:r>
      <w:r>
        <w:rPr>
          <w:rFonts w:eastAsia="仿宋" w:cs="Times New Roman" w:hint="eastAsia"/>
          <w:szCs w:val="32"/>
        </w:rPr>
        <w:t>3</w:t>
      </w:r>
      <w:r>
        <w:rPr>
          <w:rFonts w:eastAsia="仿宋" w:cs="Times New Roman" w:hint="eastAsia"/>
          <w:szCs w:val="32"/>
        </w:rPr>
        <w:t>万字及以上高质量研究报告</w:t>
      </w:r>
      <w:r>
        <w:rPr>
          <w:rFonts w:eastAsia="仿宋" w:cs="Times New Roman" w:hint="eastAsia"/>
          <w:szCs w:val="32"/>
        </w:rPr>
        <w:t>1</w:t>
      </w:r>
      <w:r>
        <w:rPr>
          <w:rFonts w:eastAsia="仿宋" w:cs="Times New Roman" w:hint="eastAsia"/>
          <w:szCs w:val="32"/>
        </w:rPr>
        <w:t>篇（含</w:t>
      </w:r>
      <w:r>
        <w:rPr>
          <w:rFonts w:eastAsia="仿宋" w:cs="Times New Roman" w:hint="eastAsia"/>
          <w:szCs w:val="32"/>
        </w:rPr>
        <w:t>4000</w:t>
      </w:r>
      <w:r>
        <w:rPr>
          <w:rFonts w:eastAsia="仿宋" w:cs="Times New Roman" w:hint="eastAsia"/>
          <w:szCs w:val="32"/>
        </w:rPr>
        <w:t>字摘要），报告</w:t>
      </w:r>
      <w:proofErr w:type="gramStart"/>
      <w:r>
        <w:rPr>
          <w:rFonts w:eastAsia="仿宋" w:cs="Times New Roman" w:hint="eastAsia"/>
          <w:szCs w:val="32"/>
        </w:rPr>
        <w:t>需观点</w:t>
      </w:r>
      <w:proofErr w:type="gramEnd"/>
      <w:r>
        <w:rPr>
          <w:rFonts w:eastAsia="仿宋" w:cs="Times New Roman" w:hint="eastAsia"/>
          <w:szCs w:val="32"/>
        </w:rPr>
        <w:t>明确、论证充分、资料翔实，符合学术规范与决策咨询要求；二是以课题研究为基础、以福州研究院为署名单位撰写内参</w:t>
      </w:r>
      <w:proofErr w:type="gramStart"/>
      <w:r>
        <w:rPr>
          <w:rFonts w:eastAsia="仿宋" w:cs="Times New Roman" w:hint="eastAsia"/>
          <w:szCs w:val="32"/>
        </w:rPr>
        <w:t>咨</w:t>
      </w:r>
      <w:proofErr w:type="gramEnd"/>
      <w:r>
        <w:rPr>
          <w:rFonts w:eastAsia="仿宋" w:cs="Times New Roman" w:hint="eastAsia"/>
          <w:szCs w:val="32"/>
        </w:rPr>
        <w:t>政报告，并获得省部级正式采纳或批示</w:t>
      </w:r>
      <w:r>
        <w:rPr>
          <w:rFonts w:eastAsia="仿宋" w:cs="Times New Roman" w:hint="eastAsia"/>
          <w:szCs w:val="32"/>
        </w:rPr>
        <w:t>1</w:t>
      </w:r>
      <w:r>
        <w:rPr>
          <w:rFonts w:eastAsia="仿宋" w:cs="Times New Roman" w:hint="eastAsia"/>
          <w:szCs w:val="32"/>
        </w:rPr>
        <w:t>次，提供有效采纳证明或批示文件；三是赴福州等地开展实地调研与座谈不少于</w:t>
      </w:r>
      <w:r>
        <w:rPr>
          <w:rFonts w:eastAsia="仿宋" w:cs="Times New Roman" w:hint="eastAsia"/>
          <w:szCs w:val="32"/>
        </w:rPr>
        <w:t>2</w:t>
      </w:r>
      <w:r>
        <w:rPr>
          <w:rFonts w:eastAsia="仿宋" w:cs="Times New Roman" w:hint="eastAsia"/>
          <w:szCs w:val="32"/>
        </w:rPr>
        <w:t>次，广泛收集一手资料，并与福建省及福州市相关部门建立常态化沟通联系机制，推动研究成果落地转化。</w:t>
      </w:r>
    </w:p>
    <w:p w14:paraId="7D0F4AC1" w14:textId="77777777" w:rsidR="008862DB" w:rsidRDefault="00000000">
      <w:pPr>
        <w:pStyle w:val="a6"/>
        <w:spacing w:beforeLines="50" w:before="221" w:afterLines="50" w:after="221" w:line="560" w:lineRule="exact"/>
        <w:rPr>
          <w:rFonts w:eastAsia="黑体" w:cs="Times New Roman"/>
          <w:szCs w:val="32"/>
        </w:rPr>
      </w:pPr>
      <w:r>
        <w:rPr>
          <w:rFonts w:eastAsia="黑体" w:cs="Times New Roman" w:hint="eastAsia"/>
          <w:szCs w:val="32"/>
        </w:rPr>
        <w:t>四、</w:t>
      </w:r>
      <w:r>
        <w:rPr>
          <w:rFonts w:eastAsia="黑体" w:cs="Times New Roman" w:hint="eastAsia"/>
          <w:szCs w:val="32"/>
        </w:rPr>
        <w:t>2026</w:t>
      </w:r>
      <w:r>
        <w:rPr>
          <w:rFonts w:eastAsia="黑体" w:cs="Times New Roman" w:hint="eastAsia"/>
          <w:szCs w:val="32"/>
        </w:rPr>
        <w:t>年《两岸融合发展报告》（</w:t>
      </w:r>
      <w:r>
        <w:rPr>
          <w:rFonts w:eastAsia="黑体" w:cs="Times New Roman" w:hint="eastAsia"/>
          <w:szCs w:val="32"/>
        </w:rPr>
        <w:t>30</w:t>
      </w:r>
      <w:r>
        <w:rPr>
          <w:rFonts w:eastAsia="黑体" w:cs="Times New Roman" w:hint="eastAsia"/>
          <w:szCs w:val="32"/>
        </w:rPr>
        <w:t>万）</w:t>
      </w:r>
    </w:p>
    <w:p w14:paraId="4EB3CCF7" w14:textId="77777777" w:rsidR="008862DB" w:rsidRDefault="00000000">
      <w:pPr>
        <w:widowControl/>
        <w:spacing w:line="560" w:lineRule="exact"/>
        <w:ind w:firstLineChars="200" w:firstLine="640"/>
        <w:jc w:val="left"/>
        <w:rPr>
          <w:rFonts w:ascii="Times New Roman" w:eastAsia="仿宋" w:hAnsi="Times New Roman"/>
          <w:kern w:val="0"/>
        </w:rPr>
      </w:pPr>
      <w:r>
        <w:rPr>
          <w:rFonts w:eastAsia="楷体" w:hint="eastAsia"/>
        </w:rPr>
        <w:t>课题说明</w:t>
      </w:r>
      <w:r>
        <w:rPr>
          <w:rFonts w:eastAsia="楷体"/>
        </w:rPr>
        <w:t>：</w:t>
      </w:r>
      <w:r>
        <w:rPr>
          <w:rFonts w:ascii="Times New Roman" w:eastAsia="仿宋" w:hAnsi="Times New Roman" w:hint="eastAsia"/>
          <w:kern w:val="0"/>
        </w:rPr>
        <w:t>本课题围绕以下三部分展开研究：一是全面梳理两岸融合发展的经济社会现状，涵盖经贸往来、人员交流、民意基础及已取得的成效；二是深入分析当前推进融合过程中在经济、社会文化、政策制度及民意认同等层面面临的问题与障碍；三是探讨融合促进统一的路径，重点研究福建融合发展示范区的战略支点功能与制度创新，提出面向未来的两岸融合政策体系与重点举措。报告编写应依托调研材料，并结合两岸舆情大数据分析，力求为深化两岸融合发展提供系统性、前瞻性的决策参考。</w:t>
      </w:r>
    </w:p>
    <w:p w14:paraId="62CB0D80" w14:textId="77777777" w:rsidR="008862DB" w:rsidRDefault="00000000">
      <w:pPr>
        <w:pStyle w:val="a6"/>
        <w:spacing w:line="560" w:lineRule="exact"/>
        <w:ind w:firstLineChars="200" w:firstLine="640"/>
        <w:rPr>
          <w:rFonts w:cs="Times New Roman"/>
        </w:rPr>
      </w:pPr>
      <w:proofErr w:type="gramStart"/>
      <w:r>
        <w:rPr>
          <w:rFonts w:eastAsia="楷体" w:cs="Times New Roman" w:hint="eastAsia"/>
          <w:szCs w:val="32"/>
        </w:rPr>
        <w:t>结项要求</w:t>
      </w:r>
      <w:proofErr w:type="gramEnd"/>
      <w:r>
        <w:rPr>
          <w:rFonts w:eastAsia="楷体" w:cs="Times New Roman"/>
          <w:szCs w:val="32"/>
        </w:rPr>
        <w:t>：</w:t>
      </w:r>
      <w:bookmarkStart w:id="2" w:name="OLE_LINK6"/>
      <w:bookmarkStart w:id="3" w:name="OLE_LINK4"/>
      <w:bookmarkStart w:id="4" w:name="OLE_LINK5"/>
      <w:bookmarkStart w:id="5" w:name="OLE_LINK7"/>
      <w:r>
        <w:rPr>
          <w:rFonts w:eastAsia="仿宋" w:cs="Times New Roman" w:hint="eastAsia"/>
          <w:szCs w:val="32"/>
        </w:rPr>
        <w:t>一是提交</w:t>
      </w:r>
      <w:r>
        <w:rPr>
          <w:rFonts w:eastAsia="仿宋" w:cs="Times New Roman" w:hint="eastAsia"/>
          <w:szCs w:val="32"/>
        </w:rPr>
        <w:t>3</w:t>
      </w:r>
      <w:r>
        <w:rPr>
          <w:rFonts w:eastAsia="仿宋" w:cs="Times New Roman" w:hint="eastAsia"/>
          <w:szCs w:val="32"/>
        </w:rPr>
        <w:t>万字及以上高质量研究报告</w:t>
      </w:r>
      <w:r>
        <w:rPr>
          <w:rFonts w:eastAsia="仿宋" w:cs="Times New Roman" w:hint="eastAsia"/>
          <w:szCs w:val="32"/>
        </w:rPr>
        <w:t>1</w:t>
      </w:r>
      <w:r>
        <w:rPr>
          <w:rFonts w:eastAsia="仿宋" w:cs="Times New Roman" w:hint="eastAsia"/>
          <w:szCs w:val="32"/>
        </w:rPr>
        <w:t>篇（含</w:t>
      </w:r>
      <w:r>
        <w:rPr>
          <w:rFonts w:eastAsia="仿宋" w:cs="Times New Roman" w:hint="eastAsia"/>
          <w:szCs w:val="32"/>
        </w:rPr>
        <w:lastRenderedPageBreak/>
        <w:t>4000</w:t>
      </w:r>
      <w:r>
        <w:rPr>
          <w:rFonts w:eastAsia="仿宋" w:cs="Times New Roman" w:hint="eastAsia"/>
          <w:szCs w:val="32"/>
        </w:rPr>
        <w:t>字摘要），报告</w:t>
      </w:r>
      <w:proofErr w:type="gramStart"/>
      <w:r>
        <w:rPr>
          <w:rFonts w:eastAsia="仿宋" w:cs="Times New Roman" w:hint="eastAsia"/>
          <w:szCs w:val="32"/>
        </w:rPr>
        <w:t>需观点</w:t>
      </w:r>
      <w:proofErr w:type="gramEnd"/>
      <w:r>
        <w:rPr>
          <w:rFonts w:eastAsia="仿宋" w:cs="Times New Roman" w:hint="eastAsia"/>
          <w:szCs w:val="32"/>
        </w:rPr>
        <w:t>明确、论证充分、资料翔实，符合学术规范与决策咨询要求；二是以课题研究为基础、以福州研究院为署名单位撰写内参</w:t>
      </w:r>
      <w:proofErr w:type="gramStart"/>
      <w:r>
        <w:rPr>
          <w:rFonts w:eastAsia="仿宋" w:cs="Times New Roman" w:hint="eastAsia"/>
          <w:szCs w:val="32"/>
        </w:rPr>
        <w:t>咨</w:t>
      </w:r>
      <w:proofErr w:type="gramEnd"/>
      <w:r>
        <w:rPr>
          <w:rFonts w:eastAsia="仿宋" w:cs="Times New Roman" w:hint="eastAsia"/>
          <w:szCs w:val="32"/>
        </w:rPr>
        <w:t>政报告，并获得省部级正式采纳或批示</w:t>
      </w:r>
      <w:r>
        <w:rPr>
          <w:rFonts w:eastAsia="仿宋" w:cs="Times New Roman" w:hint="eastAsia"/>
          <w:szCs w:val="32"/>
        </w:rPr>
        <w:t>1</w:t>
      </w:r>
      <w:r>
        <w:rPr>
          <w:rFonts w:eastAsia="仿宋" w:cs="Times New Roman" w:hint="eastAsia"/>
          <w:szCs w:val="32"/>
        </w:rPr>
        <w:t>次，提供有效采纳证明或批示文件；三</w:t>
      </w:r>
      <w:r>
        <w:rPr>
          <w:rFonts w:eastAsia="仿宋" w:cs="Times New Roman"/>
          <w:szCs w:val="32"/>
        </w:rPr>
        <w:t>是</w:t>
      </w:r>
      <w:r>
        <w:rPr>
          <w:rFonts w:eastAsia="仿宋" w:cs="Times New Roman" w:hint="eastAsia"/>
          <w:szCs w:val="32"/>
        </w:rPr>
        <w:t>参加</w:t>
      </w:r>
      <w:r>
        <w:rPr>
          <w:rFonts w:eastAsia="仿宋" w:cs="Times New Roman" w:hint="eastAsia"/>
          <w:szCs w:val="32"/>
        </w:rPr>
        <w:t>2026</w:t>
      </w:r>
      <w:r>
        <w:rPr>
          <w:rFonts w:eastAsia="仿宋" w:cs="Times New Roman" w:hint="eastAsia"/>
          <w:szCs w:val="32"/>
        </w:rPr>
        <w:t>年两岸融合发展（福州）大会，进行成果发布</w:t>
      </w:r>
      <w:r>
        <w:rPr>
          <w:rFonts w:eastAsia="仿宋" w:cs="Times New Roman"/>
          <w:szCs w:val="32"/>
        </w:rPr>
        <w:t>。</w:t>
      </w:r>
    </w:p>
    <w:bookmarkEnd w:id="2"/>
    <w:bookmarkEnd w:id="3"/>
    <w:bookmarkEnd w:id="4"/>
    <w:bookmarkEnd w:id="5"/>
    <w:p w14:paraId="22D1C550" w14:textId="77777777" w:rsidR="008862DB" w:rsidRDefault="00000000">
      <w:pPr>
        <w:pStyle w:val="a6"/>
        <w:spacing w:beforeLines="50" w:before="221" w:afterLines="50" w:after="221" w:line="560" w:lineRule="exact"/>
        <w:rPr>
          <w:rFonts w:eastAsia="黑体" w:cs="Times New Roman"/>
          <w:szCs w:val="32"/>
        </w:rPr>
      </w:pPr>
      <w:r>
        <w:rPr>
          <w:rFonts w:eastAsia="黑体" w:cs="Times New Roman" w:hint="eastAsia"/>
          <w:szCs w:val="32"/>
        </w:rPr>
        <w:t>五、两岸融合发展舆情研究（</w:t>
      </w:r>
      <w:r>
        <w:rPr>
          <w:rFonts w:eastAsia="黑体" w:cs="Times New Roman" w:hint="eastAsia"/>
          <w:szCs w:val="32"/>
        </w:rPr>
        <w:t>10</w:t>
      </w:r>
      <w:r>
        <w:rPr>
          <w:rFonts w:eastAsia="黑体" w:cs="Times New Roman" w:hint="eastAsia"/>
          <w:szCs w:val="32"/>
        </w:rPr>
        <w:t>万）</w:t>
      </w:r>
    </w:p>
    <w:p w14:paraId="648B516C" w14:textId="77777777" w:rsidR="008862DB" w:rsidRDefault="00000000">
      <w:pPr>
        <w:pStyle w:val="11"/>
        <w:keepNext w:val="0"/>
        <w:keepLines w:val="0"/>
        <w:spacing w:line="560" w:lineRule="exact"/>
        <w:ind w:firstLineChars="200" w:firstLine="640"/>
        <w:jc w:val="both"/>
        <w:rPr>
          <w:rFonts w:eastAsia="仿宋"/>
          <w:bCs w:val="0"/>
          <w:kern w:val="0"/>
          <w:sz w:val="32"/>
          <w:szCs w:val="32"/>
        </w:rPr>
      </w:pPr>
      <w:r>
        <w:rPr>
          <w:rFonts w:eastAsia="楷体" w:hint="eastAsia"/>
          <w:sz w:val="32"/>
          <w:szCs w:val="32"/>
        </w:rPr>
        <w:t>课题说明</w:t>
      </w:r>
      <w:r>
        <w:rPr>
          <w:rFonts w:eastAsia="楷体"/>
          <w:sz w:val="32"/>
          <w:szCs w:val="32"/>
        </w:rPr>
        <w:t>：</w:t>
      </w:r>
      <w:r>
        <w:rPr>
          <w:rFonts w:eastAsia="仿宋" w:hint="eastAsia"/>
          <w:bCs w:val="0"/>
          <w:kern w:val="0"/>
          <w:sz w:val="32"/>
          <w:szCs w:val="32"/>
        </w:rPr>
        <w:t>当前两岸关系步入融合发展深化阶段，民间交流、经济合作、文化认同等领域的舆情态势，直接影响融合进程。现有研究多集中于政策解读或单一事件分析，缺乏针对两岸融合发展舆情的系统性理论框架及动态追踪工具。本课题应通过理论创新与量化分析，揭示舆情演化规律、识别关键影响因素，为政策制定提供数据支撑与决策参考。本课题应围绕两岸融合发展舆情，开展理论与量化相结合的双轨研究。在理论层面，梳理舆情研究的经典理论，结合两岸融合的政治敏感性、文化同源性等特征，界定核心要素，构建“议题—主体—情感—影响”四维分析框架，阐释舆情传导机制。在量化研究方面，整合两岸及国外主流网络平台的数据，以及文献、政策等多源信息，运用自然语言处理（</w:t>
      </w:r>
      <w:r>
        <w:rPr>
          <w:rFonts w:eastAsia="仿宋" w:hint="eastAsia"/>
          <w:bCs w:val="0"/>
          <w:kern w:val="0"/>
          <w:sz w:val="32"/>
          <w:szCs w:val="32"/>
        </w:rPr>
        <w:t>NLP</w:t>
      </w:r>
      <w:r>
        <w:rPr>
          <w:rFonts w:eastAsia="仿宋" w:hint="eastAsia"/>
          <w:bCs w:val="0"/>
          <w:kern w:val="0"/>
          <w:sz w:val="32"/>
          <w:szCs w:val="32"/>
        </w:rPr>
        <w:t>）、知识图谱等技术，实现跨语言处理与智能分析，搭建涵盖采集监测、统计分析、案例库的动态平台。二者协同，可为</w:t>
      </w:r>
      <w:proofErr w:type="gramStart"/>
      <w:r>
        <w:rPr>
          <w:rFonts w:eastAsia="仿宋" w:hint="eastAsia"/>
          <w:bCs w:val="0"/>
          <w:kern w:val="0"/>
          <w:sz w:val="32"/>
          <w:szCs w:val="32"/>
        </w:rPr>
        <w:t>研判两岸</w:t>
      </w:r>
      <w:proofErr w:type="gramEnd"/>
      <w:r>
        <w:rPr>
          <w:rFonts w:eastAsia="仿宋" w:hint="eastAsia"/>
          <w:bCs w:val="0"/>
          <w:kern w:val="0"/>
          <w:sz w:val="32"/>
          <w:szCs w:val="32"/>
        </w:rPr>
        <w:t>舆情、服务融合实践提供理论与数据支撑。</w:t>
      </w:r>
    </w:p>
    <w:p w14:paraId="4FBF8163" w14:textId="77777777" w:rsidR="008862DB" w:rsidRDefault="00000000">
      <w:pPr>
        <w:pStyle w:val="a6"/>
        <w:spacing w:line="560" w:lineRule="exact"/>
        <w:ind w:firstLineChars="200" w:firstLine="640"/>
        <w:rPr>
          <w:rFonts w:eastAsia="仿宋" w:cs="Times New Roman"/>
          <w:szCs w:val="32"/>
        </w:rPr>
      </w:pPr>
      <w:proofErr w:type="gramStart"/>
      <w:r>
        <w:rPr>
          <w:rFonts w:eastAsia="楷体" w:cs="Times New Roman" w:hint="eastAsia"/>
          <w:szCs w:val="32"/>
        </w:rPr>
        <w:t>结项要求</w:t>
      </w:r>
      <w:proofErr w:type="gramEnd"/>
      <w:r>
        <w:rPr>
          <w:rFonts w:eastAsia="楷体" w:cs="Times New Roman"/>
          <w:szCs w:val="32"/>
        </w:rPr>
        <w:t>：</w:t>
      </w:r>
      <w:r>
        <w:rPr>
          <w:rFonts w:eastAsia="仿宋" w:cs="Times New Roman" w:hint="eastAsia"/>
          <w:szCs w:val="32"/>
        </w:rPr>
        <w:t>一是提交</w:t>
      </w:r>
      <w:r>
        <w:rPr>
          <w:rFonts w:eastAsia="仿宋" w:cs="Times New Roman" w:hint="eastAsia"/>
          <w:szCs w:val="32"/>
        </w:rPr>
        <w:t>1</w:t>
      </w:r>
      <w:r>
        <w:rPr>
          <w:rFonts w:eastAsia="仿宋" w:cs="Times New Roman" w:hint="eastAsia"/>
          <w:szCs w:val="32"/>
        </w:rPr>
        <w:t>万字及以上高质量研究报告</w:t>
      </w:r>
      <w:r>
        <w:rPr>
          <w:rFonts w:eastAsia="仿宋" w:cs="Times New Roman" w:hint="eastAsia"/>
          <w:szCs w:val="32"/>
        </w:rPr>
        <w:t>1</w:t>
      </w:r>
      <w:r>
        <w:rPr>
          <w:rFonts w:eastAsia="仿宋" w:cs="Times New Roman" w:hint="eastAsia"/>
          <w:szCs w:val="32"/>
        </w:rPr>
        <w:t>篇（含</w:t>
      </w:r>
      <w:r>
        <w:rPr>
          <w:rFonts w:eastAsia="仿宋" w:cs="Times New Roman" w:hint="eastAsia"/>
          <w:szCs w:val="32"/>
        </w:rPr>
        <w:t>2000</w:t>
      </w:r>
      <w:r>
        <w:rPr>
          <w:rFonts w:eastAsia="仿宋" w:cs="Times New Roman" w:hint="eastAsia"/>
          <w:szCs w:val="32"/>
        </w:rPr>
        <w:t>字摘要），报告</w:t>
      </w:r>
      <w:proofErr w:type="gramStart"/>
      <w:r>
        <w:rPr>
          <w:rFonts w:eastAsia="仿宋" w:cs="Times New Roman" w:hint="eastAsia"/>
          <w:szCs w:val="32"/>
        </w:rPr>
        <w:t>需观点</w:t>
      </w:r>
      <w:proofErr w:type="gramEnd"/>
      <w:r>
        <w:rPr>
          <w:rFonts w:eastAsia="仿宋" w:cs="Times New Roman" w:hint="eastAsia"/>
          <w:szCs w:val="32"/>
        </w:rPr>
        <w:t>明确、论证充分、资料翔实，符合学术规范与决策咨询要求</w:t>
      </w:r>
      <w:r>
        <w:rPr>
          <w:rFonts w:eastAsia="仿宋" w:cs="Times New Roman"/>
          <w:szCs w:val="32"/>
        </w:rPr>
        <w:t>；</w:t>
      </w:r>
      <w:r>
        <w:rPr>
          <w:rFonts w:eastAsia="仿宋" w:cs="Times New Roman" w:hint="eastAsia"/>
          <w:szCs w:val="32"/>
        </w:rPr>
        <w:t>二</w:t>
      </w:r>
      <w:r>
        <w:rPr>
          <w:rFonts w:eastAsia="仿宋" w:cs="Times New Roman"/>
          <w:szCs w:val="32"/>
        </w:rPr>
        <w:t>是形成</w:t>
      </w:r>
      <w:r>
        <w:rPr>
          <w:rFonts w:eastAsia="仿宋" w:cs="Times New Roman" w:hint="eastAsia"/>
          <w:szCs w:val="32"/>
        </w:rPr>
        <w:t>一套可迭代的两岸融合发展舆</w:t>
      </w:r>
      <w:r>
        <w:rPr>
          <w:rFonts w:eastAsia="仿宋" w:cs="Times New Roman" w:hint="eastAsia"/>
          <w:szCs w:val="32"/>
        </w:rPr>
        <w:lastRenderedPageBreak/>
        <w:t>情指数指标体系</w:t>
      </w:r>
      <w:r>
        <w:rPr>
          <w:rFonts w:eastAsia="仿宋" w:cs="Times New Roman"/>
          <w:szCs w:val="32"/>
        </w:rPr>
        <w:t>；</w:t>
      </w:r>
      <w:r>
        <w:rPr>
          <w:rFonts w:eastAsia="仿宋" w:cs="Times New Roman" w:hint="eastAsia"/>
          <w:szCs w:val="32"/>
        </w:rPr>
        <w:t>三</w:t>
      </w:r>
      <w:r>
        <w:rPr>
          <w:rFonts w:eastAsia="仿宋" w:cs="Times New Roman"/>
          <w:szCs w:val="32"/>
        </w:rPr>
        <w:t>是</w:t>
      </w:r>
      <w:r>
        <w:rPr>
          <w:rFonts w:eastAsia="仿宋" w:cs="Times New Roman" w:hint="eastAsia"/>
          <w:szCs w:val="32"/>
        </w:rPr>
        <w:t>建立一个两岸融合发展舆情数据库；四是形成一份两岸融合发展综合数据库建设方案。</w:t>
      </w:r>
    </w:p>
    <w:p w14:paraId="00D3950D" w14:textId="77777777" w:rsidR="008862DB" w:rsidRDefault="00000000">
      <w:pPr>
        <w:pStyle w:val="a6"/>
        <w:spacing w:beforeLines="50" w:before="221" w:afterLines="50" w:after="221" w:line="560" w:lineRule="exact"/>
        <w:rPr>
          <w:rFonts w:eastAsia="黑体" w:cs="Times New Roman"/>
          <w:szCs w:val="32"/>
        </w:rPr>
      </w:pPr>
      <w:r>
        <w:rPr>
          <w:rFonts w:eastAsia="黑体" w:cs="Times New Roman" w:hint="eastAsia"/>
          <w:szCs w:val="32"/>
        </w:rPr>
        <w:t>六、习近平总书记关于教育的重要论述理论溯源学术平台建设与传播体系创新研究（</w:t>
      </w:r>
      <w:r>
        <w:rPr>
          <w:rFonts w:eastAsia="黑体" w:cs="Times New Roman" w:hint="eastAsia"/>
          <w:szCs w:val="32"/>
        </w:rPr>
        <w:t>10</w:t>
      </w:r>
      <w:r>
        <w:rPr>
          <w:rFonts w:eastAsia="黑体" w:cs="Times New Roman" w:hint="eastAsia"/>
          <w:szCs w:val="32"/>
        </w:rPr>
        <w:t>万）</w:t>
      </w:r>
    </w:p>
    <w:p w14:paraId="5009BE48" w14:textId="77777777" w:rsidR="008862DB" w:rsidRDefault="00000000">
      <w:pPr>
        <w:widowControl/>
        <w:spacing w:line="560" w:lineRule="exact"/>
        <w:ind w:firstLineChars="200" w:firstLine="640"/>
        <w:jc w:val="left"/>
        <w:rPr>
          <w:rFonts w:ascii="Times New Roman" w:eastAsia="仿宋" w:hAnsi="Times New Roman"/>
          <w:kern w:val="0"/>
        </w:rPr>
      </w:pPr>
      <w:r>
        <w:rPr>
          <w:rFonts w:eastAsia="楷体" w:hint="eastAsia"/>
        </w:rPr>
        <w:t>课题说明</w:t>
      </w:r>
      <w:r>
        <w:rPr>
          <w:rFonts w:eastAsia="楷体"/>
        </w:rPr>
        <w:t>：</w:t>
      </w:r>
      <w:r>
        <w:rPr>
          <w:rFonts w:ascii="Times New Roman" w:eastAsia="仿宋" w:hAnsi="Times New Roman" w:hint="eastAsia"/>
          <w:kern w:val="0"/>
        </w:rPr>
        <w:t>围绕“习近平总书记关于教育的重要论述理论溯源”这一重大理论问题，探讨依托学术刊物搭建学术平台的实践模式创新，打通“理论研究—平台建设—资源汇聚——成果转化”链条，以学术平台建设汇聚研究力量和优秀成果，为提升相关研究成果学术影响力、加快构建中国教育学自主知识体系提供学术保障与平台支撑。</w:t>
      </w:r>
    </w:p>
    <w:p w14:paraId="20D5B098" w14:textId="77777777" w:rsidR="008862DB" w:rsidRDefault="00000000">
      <w:pPr>
        <w:pStyle w:val="a6"/>
        <w:spacing w:line="560" w:lineRule="exact"/>
        <w:ind w:firstLineChars="200" w:firstLine="640"/>
        <w:rPr>
          <w:rFonts w:cs="Times New Roman"/>
        </w:rPr>
      </w:pPr>
      <w:proofErr w:type="gramStart"/>
      <w:r>
        <w:rPr>
          <w:rFonts w:eastAsia="楷体" w:cs="Times New Roman" w:hint="eastAsia"/>
          <w:szCs w:val="32"/>
        </w:rPr>
        <w:t>结项要求</w:t>
      </w:r>
      <w:proofErr w:type="gramEnd"/>
      <w:r>
        <w:rPr>
          <w:rFonts w:eastAsia="楷体" w:cs="Times New Roman"/>
          <w:szCs w:val="32"/>
        </w:rPr>
        <w:t>：</w:t>
      </w:r>
      <w:r>
        <w:rPr>
          <w:rFonts w:eastAsia="仿宋" w:cs="Times New Roman" w:hint="eastAsia"/>
          <w:szCs w:val="32"/>
        </w:rPr>
        <w:t>一是依托由</w:t>
      </w:r>
      <w:r>
        <w:rPr>
          <w:rFonts w:eastAsia="仿宋" w:hint="eastAsia"/>
        </w:rPr>
        <w:t>学术刊物搭建的</w:t>
      </w:r>
      <w:r>
        <w:rPr>
          <w:rFonts w:eastAsia="仿宋" w:cs="Times New Roman" w:hint="eastAsia"/>
          <w:szCs w:val="32"/>
        </w:rPr>
        <w:t>学术平台刊发有关习近平总书记关于教育的重要论述理论溯源方面的学术论文</w:t>
      </w:r>
      <w:r>
        <w:rPr>
          <w:rFonts w:eastAsia="仿宋" w:cs="Times New Roman" w:hint="eastAsia"/>
          <w:szCs w:val="32"/>
        </w:rPr>
        <w:t>4</w:t>
      </w:r>
      <w:r>
        <w:rPr>
          <w:rFonts w:eastAsia="仿宋" w:cs="Times New Roman" w:hint="eastAsia"/>
          <w:szCs w:val="32"/>
        </w:rPr>
        <w:t>篇以上；二是举办专题研讨会或学术沙龙</w:t>
      </w:r>
      <w:r>
        <w:rPr>
          <w:rFonts w:eastAsia="仿宋" w:cs="Times New Roman" w:hint="eastAsia"/>
          <w:szCs w:val="32"/>
        </w:rPr>
        <w:t>2</w:t>
      </w:r>
      <w:r>
        <w:rPr>
          <w:rFonts w:eastAsia="仿宋" w:cs="Times New Roman" w:hint="eastAsia"/>
          <w:szCs w:val="32"/>
        </w:rPr>
        <w:t>次以上；三是相关成果在“学习强国”等主流媒体平台报道</w:t>
      </w:r>
      <w:r>
        <w:rPr>
          <w:rFonts w:eastAsia="仿宋" w:cs="Times New Roman" w:hint="eastAsia"/>
          <w:szCs w:val="32"/>
        </w:rPr>
        <w:t>4</w:t>
      </w:r>
      <w:r>
        <w:rPr>
          <w:rFonts w:eastAsia="仿宋" w:cs="Times New Roman" w:hint="eastAsia"/>
          <w:szCs w:val="32"/>
        </w:rPr>
        <w:t>次以上。</w:t>
      </w:r>
    </w:p>
    <w:p w14:paraId="40E46D64" w14:textId="77777777" w:rsidR="008862DB" w:rsidRDefault="00000000">
      <w:pPr>
        <w:pStyle w:val="a6"/>
        <w:spacing w:beforeLines="50" w:before="221" w:afterLines="50" w:after="221" w:line="560" w:lineRule="exact"/>
        <w:rPr>
          <w:rFonts w:eastAsia="黑体" w:cs="Times New Roman"/>
          <w:szCs w:val="32"/>
        </w:rPr>
      </w:pPr>
      <w:r>
        <w:rPr>
          <w:rFonts w:eastAsia="黑体" w:cs="Times New Roman" w:hint="eastAsia"/>
          <w:szCs w:val="32"/>
        </w:rPr>
        <w:t>七、习近平总书记在福建工作期间推动高等教育内涵式发展的理念与实践研究（</w:t>
      </w:r>
      <w:r>
        <w:rPr>
          <w:rFonts w:eastAsia="黑体" w:cs="Times New Roman" w:hint="eastAsia"/>
          <w:szCs w:val="32"/>
        </w:rPr>
        <w:t>10</w:t>
      </w:r>
      <w:r>
        <w:rPr>
          <w:rFonts w:eastAsia="黑体" w:cs="Times New Roman" w:hint="eastAsia"/>
          <w:szCs w:val="32"/>
        </w:rPr>
        <w:t>万）</w:t>
      </w:r>
    </w:p>
    <w:p w14:paraId="16457BAF" w14:textId="77777777" w:rsidR="008862DB" w:rsidRDefault="00000000">
      <w:pPr>
        <w:widowControl/>
        <w:spacing w:line="560" w:lineRule="exact"/>
        <w:ind w:firstLineChars="200" w:firstLine="640"/>
        <w:rPr>
          <w:rFonts w:ascii="Times New Roman" w:eastAsia="仿宋" w:hAnsi="Times New Roman"/>
          <w:kern w:val="0"/>
        </w:rPr>
      </w:pPr>
      <w:r>
        <w:rPr>
          <w:rFonts w:eastAsia="楷体" w:hint="eastAsia"/>
        </w:rPr>
        <w:t>课题说明</w:t>
      </w:r>
      <w:r>
        <w:rPr>
          <w:rFonts w:eastAsia="楷体"/>
        </w:rPr>
        <w:t>：</w:t>
      </w:r>
      <w:r>
        <w:rPr>
          <w:rFonts w:ascii="Times New Roman" w:eastAsia="仿宋" w:hAnsi="Times New Roman" w:hint="eastAsia"/>
          <w:kern w:val="0"/>
        </w:rPr>
        <w:t>聚焦习近平同志在福建工作期间关于高等教育改革发展的重要理念与实践探索，通过历史文献梳理、深度访谈与案例分析，系统还原其推动高等教育内涵式发展的思想脉络与政策轨迹。在此基础上，深入探析这些理念与实践同当下打造自强卓越的高等教育体系等战略部署之间的内在逻辑关联，揭示福建经验作为理论雏形与实践来源的重要价值。</w:t>
      </w:r>
    </w:p>
    <w:p w14:paraId="02A6A0B3" w14:textId="77777777" w:rsidR="008862DB" w:rsidRDefault="00000000">
      <w:pPr>
        <w:pStyle w:val="a6"/>
        <w:spacing w:line="560" w:lineRule="exact"/>
        <w:ind w:firstLineChars="200" w:firstLine="640"/>
        <w:rPr>
          <w:rFonts w:eastAsia="仿宋" w:cs="Times New Roman"/>
          <w:szCs w:val="32"/>
        </w:rPr>
      </w:pPr>
      <w:proofErr w:type="gramStart"/>
      <w:r>
        <w:rPr>
          <w:rFonts w:eastAsia="楷体" w:cs="Times New Roman" w:hint="eastAsia"/>
          <w:szCs w:val="32"/>
        </w:rPr>
        <w:lastRenderedPageBreak/>
        <w:t>结项要求</w:t>
      </w:r>
      <w:proofErr w:type="gramEnd"/>
      <w:r>
        <w:rPr>
          <w:rFonts w:eastAsia="楷体" w:cs="Times New Roman"/>
          <w:szCs w:val="32"/>
        </w:rPr>
        <w:t>：</w:t>
      </w:r>
      <w:r>
        <w:rPr>
          <w:rFonts w:eastAsia="仿宋" w:cs="Times New Roman" w:hint="eastAsia"/>
          <w:szCs w:val="32"/>
        </w:rPr>
        <w:t>一是提交</w:t>
      </w:r>
      <w:r>
        <w:rPr>
          <w:rFonts w:eastAsia="仿宋" w:cs="Times New Roman" w:hint="eastAsia"/>
          <w:szCs w:val="32"/>
        </w:rPr>
        <w:t>2</w:t>
      </w:r>
      <w:r>
        <w:rPr>
          <w:rFonts w:eastAsia="仿宋" w:cs="Times New Roman" w:hint="eastAsia"/>
          <w:szCs w:val="32"/>
        </w:rPr>
        <w:t>万字及以上高质量研究报告</w:t>
      </w:r>
      <w:r>
        <w:rPr>
          <w:rFonts w:eastAsia="仿宋" w:cs="Times New Roman" w:hint="eastAsia"/>
          <w:szCs w:val="32"/>
        </w:rPr>
        <w:t>1</w:t>
      </w:r>
      <w:r>
        <w:rPr>
          <w:rFonts w:eastAsia="仿宋" w:cs="Times New Roman" w:hint="eastAsia"/>
          <w:szCs w:val="32"/>
        </w:rPr>
        <w:t>篇（含</w:t>
      </w:r>
      <w:r>
        <w:rPr>
          <w:rFonts w:eastAsia="仿宋" w:cs="Times New Roman" w:hint="eastAsia"/>
          <w:szCs w:val="32"/>
        </w:rPr>
        <w:t>4000</w:t>
      </w:r>
      <w:r>
        <w:rPr>
          <w:rFonts w:eastAsia="仿宋" w:cs="Times New Roman" w:hint="eastAsia"/>
          <w:szCs w:val="32"/>
        </w:rPr>
        <w:t>字摘要），报告</w:t>
      </w:r>
      <w:proofErr w:type="gramStart"/>
      <w:r>
        <w:rPr>
          <w:rFonts w:eastAsia="仿宋" w:cs="Times New Roman" w:hint="eastAsia"/>
          <w:szCs w:val="32"/>
        </w:rPr>
        <w:t>需观点</w:t>
      </w:r>
      <w:proofErr w:type="gramEnd"/>
      <w:r>
        <w:rPr>
          <w:rFonts w:eastAsia="仿宋" w:cs="Times New Roman" w:hint="eastAsia"/>
          <w:szCs w:val="32"/>
        </w:rPr>
        <w:t>明确、论证充分、资料翔实，符合学术规范与决策咨询要求；二是以中国人民大学福州研究院为署名单位在</w:t>
      </w:r>
      <w:r>
        <w:rPr>
          <w:rFonts w:eastAsia="仿宋" w:cs="Times New Roman" w:hint="eastAsia"/>
          <w:szCs w:val="32"/>
        </w:rPr>
        <w:t>CSSCI</w:t>
      </w:r>
      <w:r>
        <w:rPr>
          <w:rFonts w:eastAsia="仿宋" w:cs="Times New Roman" w:hint="eastAsia"/>
          <w:szCs w:val="32"/>
        </w:rPr>
        <w:t>核心期刊（含扩展版）发表相关学术论文</w:t>
      </w:r>
      <w:r>
        <w:rPr>
          <w:rFonts w:eastAsia="仿宋" w:cs="Times New Roman" w:hint="eastAsia"/>
          <w:szCs w:val="32"/>
        </w:rPr>
        <w:t>1</w:t>
      </w:r>
      <w:r>
        <w:rPr>
          <w:rFonts w:eastAsia="仿宋" w:cs="Times New Roman" w:hint="eastAsia"/>
          <w:szCs w:val="32"/>
        </w:rPr>
        <w:t>篇以上或者以课题研究为基础撰写的</w:t>
      </w:r>
      <w:proofErr w:type="gramStart"/>
      <w:r>
        <w:rPr>
          <w:rFonts w:eastAsia="仿宋" w:cs="Times New Roman" w:hint="eastAsia"/>
          <w:szCs w:val="32"/>
        </w:rPr>
        <w:t>咨政报告</w:t>
      </w:r>
      <w:proofErr w:type="gramEnd"/>
      <w:r>
        <w:rPr>
          <w:rFonts w:eastAsia="仿宋" w:cs="Times New Roman" w:hint="eastAsia"/>
          <w:szCs w:val="32"/>
        </w:rPr>
        <w:t>获得司局级以上采纳；三是参加中国人民大学福州研究院习近平总书记关于教育的重要论述学术研讨会（</w:t>
      </w:r>
      <w:r>
        <w:rPr>
          <w:rFonts w:eastAsia="仿宋" w:cs="Times New Roman" w:hint="eastAsia"/>
          <w:szCs w:val="32"/>
        </w:rPr>
        <w:t>2026</w:t>
      </w:r>
      <w:r>
        <w:rPr>
          <w:rFonts w:eastAsia="仿宋" w:cs="Times New Roman" w:hint="eastAsia"/>
          <w:szCs w:val="32"/>
        </w:rPr>
        <w:t>），进行成果发布。</w:t>
      </w:r>
    </w:p>
    <w:p w14:paraId="4D6FA860" w14:textId="77777777" w:rsidR="008862DB" w:rsidRDefault="00000000">
      <w:pPr>
        <w:pStyle w:val="a6"/>
        <w:spacing w:beforeLines="50" w:before="221" w:afterLines="50" w:after="221" w:line="560" w:lineRule="exact"/>
        <w:rPr>
          <w:rFonts w:eastAsia="黑体" w:cs="Times New Roman"/>
          <w:szCs w:val="32"/>
        </w:rPr>
      </w:pPr>
      <w:r>
        <w:rPr>
          <w:rFonts w:eastAsia="黑体" w:cs="Times New Roman" w:hint="eastAsia"/>
          <w:szCs w:val="32"/>
        </w:rPr>
        <w:t>八、习近平总书记在福建工作期间关于职业教育改革发展的重要论述研究（</w:t>
      </w:r>
      <w:r>
        <w:rPr>
          <w:rFonts w:eastAsia="黑体" w:cs="Times New Roman" w:hint="eastAsia"/>
          <w:szCs w:val="32"/>
        </w:rPr>
        <w:t>10</w:t>
      </w:r>
      <w:r>
        <w:rPr>
          <w:rFonts w:eastAsia="黑体" w:cs="Times New Roman" w:hint="eastAsia"/>
          <w:szCs w:val="32"/>
        </w:rPr>
        <w:t>万）</w:t>
      </w:r>
    </w:p>
    <w:p w14:paraId="4F9B514E" w14:textId="77777777" w:rsidR="008862DB" w:rsidRDefault="00000000">
      <w:pPr>
        <w:pStyle w:val="a6"/>
        <w:spacing w:line="560" w:lineRule="exact"/>
        <w:ind w:firstLineChars="200" w:firstLine="640"/>
        <w:rPr>
          <w:rFonts w:eastAsia="仿宋" w:cs="宋体"/>
          <w:kern w:val="2"/>
          <w:szCs w:val="32"/>
          <w14:ligatures w14:val="standardContextual"/>
        </w:rPr>
      </w:pPr>
      <w:r>
        <w:rPr>
          <w:rFonts w:eastAsia="仿宋" w:cs="宋体" w:hint="eastAsia"/>
          <w:kern w:val="2"/>
          <w:szCs w:val="32"/>
          <w14:ligatures w14:val="standardContextual"/>
        </w:rPr>
        <w:t>聚焦习近平同志在福建工作期间关于职业教育改革发展的重要理念与实践探索，通过历史文献梳理、深度访谈与案例分析，系统梳理总书记推动职业教育改革发展的思想脉络与政策轨迹。在此基础上，深入探析这些理念与实践同当下构建产教融合的职业教育体系，提升职业教育适应性等重要论述之间的内在逻辑关联，揭示福建经验作为理论雏形与实践来源的重要价值。</w:t>
      </w:r>
    </w:p>
    <w:p w14:paraId="148AF36E" w14:textId="77777777" w:rsidR="008862DB" w:rsidRDefault="00000000">
      <w:pPr>
        <w:pStyle w:val="a6"/>
        <w:spacing w:line="560" w:lineRule="exact"/>
        <w:ind w:firstLineChars="200" w:firstLine="640"/>
        <w:rPr>
          <w:rFonts w:eastAsia="仿宋" w:cs="宋体"/>
          <w:kern w:val="2"/>
          <w:szCs w:val="32"/>
          <w14:ligatures w14:val="standardContextual"/>
        </w:rPr>
      </w:pPr>
      <w:proofErr w:type="gramStart"/>
      <w:r>
        <w:rPr>
          <w:rFonts w:eastAsia="楷体" w:cs="Times New Roman" w:hint="eastAsia"/>
          <w:szCs w:val="32"/>
        </w:rPr>
        <w:t>结项要求</w:t>
      </w:r>
      <w:proofErr w:type="gramEnd"/>
      <w:r>
        <w:rPr>
          <w:rFonts w:eastAsia="楷体" w:cs="Times New Roman"/>
          <w:szCs w:val="32"/>
        </w:rPr>
        <w:t>：</w:t>
      </w:r>
      <w:r>
        <w:rPr>
          <w:rFonts w:eastAsia="仿宋" w:cs="Times New Roman" w:hint="eastAsia"/>
          <w:szCs w:val="32"/>
        </w:rPr>
        <w:t>一是提交</w:t>
      </w:r>
      <w:r>
        <w:rPr>
          <w:rFonts w:eastAsia="仿宋" w:cs="Times New Roman"/>
          <w:szCs w:val="32"/>
        </w:rPr>
        <w:t>2</w:t>
      </w:r>
      <w:r>
        <w:rPr>
          <w:rFonts w:eastAsia="仿宋" w:cs="Times New Roman"/>
          <w:szCs w:val="32"/>
        </w:rPr>
        <w:t>万字及以上</w:t>
      </w:r>
      <w:r>
        <w:rPr>
          <w:rFonts w:eastAsia="仿宋" w:cs="Times New Roman" w:hint="eastAsia"/>
          <w:szCs w:val="32"/>
        </w:rPr>
        <w:t>的研究报告</w:t>
      </w:r>
      <w:r>
        <w:rPr>
          <w:rFonts w:eastAsia="仿宋" w:cs="Times New Roman"/>
          <w:szCs w:val="32"/>
        </w:rPr>
        <w:t>（含</w:t>
      </w:r>
      <w:r>
        <w:rPr>
          <w:rFonts w:eastAsia="仿宋" w:cs="Times New Roman"/>
          <w:szCs w:val="32"/>
        </w:rPr>
        <w:t>4000</w:t>
      </w:r>
      <w:r>
        <w:rPr>
          <w:rFonts w:eastAsia="仿宋" w:cs="Times New Roman"/>
          <w:szCs w:val="32"/>
        </w:rPr>
        <w:t>字摘要）</w:t>
      </w:r>
      <w:r>
        <w:rPr>
          <w:rFonts w:eastAsia="仿宋" w:cs="宋体" w:hint="eastAsia"/>
          <w:kern w:val="2"/>
          <w:szCs w:val="32"/>
          <w14:ligatures w14:val="standardContextual"/>
        </w:rPr>
        <w:t>；二是</w:t>
      </w:r>
      <w:r>
        <w:rPr>
          <w:rFonts w:eastAsia="仿宋" w:cs="Times New Roman" w:hint="eastAsia"/>
          <w:szCs w:val="32"/>
        </w:rPr>
        <w:t>以中国人民大学福州研究院为署名单位</w:t>
      </w:r>
      <w:r>
        <w:rPr>
          <w:rFonts w:eastAsia="仿宋" w:cs="宋体" w:hint="eastAsia"/>
          <w:kern w:val="2"/>
          <w:szCs w:val="32"/>
          <w14:ligatures w14:val="standardContextual"/>
        </w:rPr>
        <w:t>在</w:t>
      </w:r>
      <w:r>
        <w:rPr>
          <w:rFonts w:eastAsia="仿宋" w:cs="宋体" w:hint="eastAsia"/>
          <w:kern w:val="2"/>
          <w:szCs w:val="32"/>
          <w14:ligatures w14:val="standardContextual"/>
        </w:rPr>
        <w:t>CSSCI</w:t>
      </w:r>
      <w:r>
        <w:rPr>
          <w:rFonts w:eastAsia="仿宋" w:cs="宋体" w:hint="eastAsia"/>
          <w:kern w:val="2"/>
          <w:szCs w:val="32"/>
          <w14:ligatures w14:val="standardContextual"/>
        </w:rPr>
        <w:t>核心期刊（含扩展版）发表相关学术论文</w:t>
      </w:r>
      <w:r>
        <w:rPr>
          <w:rFonts w:eastAsia="仿宋" w:cs="宋体" w:hint="eastAsia"/>
          <w:kern w:val="2"/>
          <w:szCs w:val="32"/>
          <w14:ligatures w14:val="standardContextual"/>
        </w:rPr>
        <w:t>1</w:t>
      </w:r>
      <w:r>
        <w:rPr>
          <w:rFonts w:eastAsia="仿宋" w:cs="宋体" w:hint="eastAsia"/>
          <w:kern w:val="2"/>
          <w:szCs w:val="32"/>
          <w14:ligatures w14:val="standardContextual"/>
        </w:rPr>
        <w:t>篇以上或者</w:t>
      </w:r>
      <w:r>
        <w:rPr>
          <w:rFonts w:eastAsia="仿宋" w:cs="Times New Roman" w:hint="eastAsia"/>
          <w:szCs w:val="32"/>
        </w:rPr>
        <w:t>以课题研究为基础</w:t>
      </w:r>
      <w:r>
        <w:rPr>
          <w:rFonts w:eastAsia="仿宋" w:cs="宋体" w:hint="eastAsia"/>
          <w:kern w:val="2"/>
          <w:szCs w:val="32"/>
          <w14:ligatures w14:val="standardContextual"/>
        </w:rPr>
        <w:t>撰写的</w:t>
      </w:r>
      <w:proofErr w:type="gramStart"/>
      <w:r>
        <w:rPr>
          <w:rFonts w:eastAsia="仿宋" w:cs="宋体" w:hint="eastAsia"/>
          <w:kern w:val="2"/>
          <w:szCs w:val="32"/>
          <w14:ligatures w14:val="standardContextual"/>
        </w:rPr>
        <w:t>咨政报告</w:t>
      </w:r>
      <w:proofErr w:type="gramEnd"/>
      <w:r>
        <w:rPr>
          <w:rFonts w:eastAsia="仿宋" w:cs="宋体" w:hint="eastAsia"/>
          <w:kern w:val="2"/>
          <w:szCs w:val="32"/>
          <w14:ligatures w14:val="standardContextual"/>
        </w:rPr>
        <w:t>获得司局级以上采纳；三是参加中国人民大学福州研究院习近平总书记关于教育的重要论述学术研讨会（</w:t>
      </w:r>
      <w:r>
        <w:rPr>
          <w:rFonts w:eastAsia="仿宋" w:cs="宋体" w:hint="eastAsia"/>
          <w:kern w:val="2"/>
          <w:szCs w:val="32"/>
          <w14:ligatures w14:val="standardContextual"/>
        </w:rPr>
        <w:t>2026</w:t>
      </w:r>
      <w:r>
        <w:rPr>
          <w:rFonts w:eastAsia="仿宋" w:cs="宋体" w:hint="eastAsia"/>
          <w:kern w:val="2"/>
          <w:szCs w:val="32"/>
          <w14:ligatures w14:val="standardContextual"/>
        </w:rPr>
        <w:t>），进行成果发布。</w:t>
      </w:r>
    </w:p>
    <w:p w14:paraId="31A9917D" w14:textId="77777777" w:rsidR="008862DB" w:rsidRDefault="00000000">
      <w:pPr>
        <w:pStyle w:val="a6"/>
        <w:spacing w:beforeLines="50" w:before="221" w:afterLines="50" w:after="221" w:line="560" w:lineRule="exact"/>
        <w:rPr>
          <w:rFonts w:eastAsia="黑体" w:cs="Times New Roman"/>
          <w:szCs w:val="32"/>
        </w:rPr>
      </w:pPr>
      <w:r>
        <w:rPr>
          <w:rFonts w:eastAsia="黑体" w:cs="Times New Roman" w:hint="eastAsia"/>
          <w:szCs w:val="32"/>
        </w:rPr>
        <w:t>九、习近平总书记在福建工作期间关于深化教育高水平对外开放的重要论述研究（</w:t>
      </w:r>
      <w:r>
        <w:rPr>
          <w:rFonts w:eastAsia="黑体" w:cs="Times New Roman" w:hint="eastAsia"/>
          <w:szCs w:val="32"/>
        </w:rPr>
        <w:t>10</w:t>
      </w:r>
      <w:r>
        <w:rPr>
          <w:rFonts w:eastAsia="黑体" w:cs="Times New Roman" w:hint="eastAsia"/>
          <w:szCs w:val="32"/>
        </w:rPr>
        <w:t>万）</w:t>
      </w:r>
    </w:p>
    <w:p w14:paraId="513F29AC" w14:textId="77777777" w:rsidR="008862DB" w:rsidRDefault="00000000">
      <w:pPr>
        <w:pStyle w:val="a6"/>
        <w:spacing w:line="560" w:lineRule="exact"/>
        <w:ind w:firstLineChars="200" w:firstLine="640"/>
        <w:rPr>
          <w:rFonts w:eastAsia="仿宋" w:cs="宋体"/>
          <w:kern w:val="2"/>
          <w:szCs w:val="32"/>
          <w14:ligatures w14:val="standardContextual"/>
        </w:rPr>
      </w:pPr>
      <w:r>
        <w:rPr>
          <w:rFonts w:eastAsia="仿宋" w:cs="宋体" w:hint="eastAsia"/>
          <w:kern w:val="2"/>
          <w:szCs w:val="32"/>
          <w14:ligatures w14:val="standardContextual"/>
        </w:rPr>
        <w:lastRenderedPageBreak/>
        <w:t>聚焦习近平同志在福建工作期间关于深化教育高水平对外开放的重要理念与实践探索，通过历史文献梳理、深度访谈与案例分析，系统梳理总书记深化教育高水平对外开放的思想脉络与政策轨迹。在此基础上，深入探析这些理念与实践同当下构建</w:t>
      </w:r>
      <w:proofErr w:type="gramStart"/>
      <w:r>
        <w:rPr>
          <w:rFonts w:eastAsia="仿宋" w:cs="宋体" w:hint="eastAsia"/>
          <w:kern w:val="2"/>
          <w:szCs w:val="32"/>
          <w14:ligatures w14:val="standardContextual"/>
        </w:rPr>
        <w:t>开放互鉴的</w:t>
      </w:r>
      <w:proofErr w:type="gramEnd"/>
      <w:r>
        <w:rPr>
          <w:rFonts w:eastAsia="仿宋" w:cs="宋体" w:hint="eastAsia"/>
          <w:kern w:val="2"/>
          <w:szCs w:val="32"/>
          <w14:ligatures w14:val="standardContextual"/>
        </w:rPr>
        <w:t>国际合作体系等战略部署之间的内在逻辑关联，揭示福建经验作为理论雏形与实践来源的重要价值。</w:t>
      </w:r>
    </w:p>
    <w:p w14:paraId="7F2E8D56" w14:textId="77777777" w:rsidR="008862DB" w:rsidRDefault="00000000">
      <w:pPr>
        <w:pStyle w:val="a6"/>
        <w:spacing w:line="560" w:lineRule="exact"/>
        <w:ind w:firstLineChars="200" w:firstLine="640"/>
        <w:rPr>
          <w:rFonts w:eastAsia="仿宋" w:cs="宋体"/>
          <w:kern w:val="2"/>
          <w:szCs w:val="32"/>
          <w14:ligatures w14:val="standardContextual"/>
        </w:rPr>
      </w:pPr>
      <w:proofErr w:type="gramStart"/>
      <w:r>
        <w:rPr>
          <w:rFonts w:eastAsia="楷体" w:cs="Times New Roman" w:hint="eastAsia"/>
          <w:szCs w:val="32"/>
        </w:rPr>
        <w:t>结项要求</w:t>
      </w:r>
      <w:proofErr w:type="gramEnd"/>
      <w:r>
        <w:rPr>
          <w:rFonts w:eastAsia="楷体" w:cs="Times New Roman"/>
          <w:szCs w:val="32"/>
        </w:rPr>
        <w:t>：</w:t>
      </w:r>
      <w:r>
        <w:rPr>
          <w:rFonts w:eastAsia="仿宋" w:cs="Times New Roman" w:hint="eastAsia"/>
          <w:szCs w:val="32"/>
        </w:rPr>
        <w:t>一是提交</w:t>
      </w:r>
      <w:r>
        <w:rPr>
          <w:rFonts w:eastAsia="仿宋" w:cs="Times New Roman"/>
          <w:szCs w:val="32"/>
        </w:rPr>
        <w:t>2</w:t>
      </w:r>
      <w:r>
        <w:rPr>
          <w:rFonts w:eastAsia="仿宋" w:cs="Times New Roman"/>
          <w:szCs w:val="32"/>
        </w:rPr>
        <w:t>万字及以上</w:t>
      </w:r>
      <w:r>
        <w:rPr>
          <w:rFonts w:eastAsia="仿宋" w:cs="Times New Roman" w:hint="eastAsia"/>
          <w:szCs w:val="32"/>
        </w:rPr>
        <w:t>的研究报告</w:t>
      </w:r>
      <w:r>
        <w:rPr>
          <w:rFonts w:eastAsia="仿宋" w:cs="Times New Roman"/>
          <w:szCs w:val="32"/>
        </w:rPr>
        <w:t>（含</w:t>
      </w:r>
      <w:r>
        <w:rPr>
          <w:rFonts w:eastAsia="仿宋" w:cs="Times New Roman"/>
          <w:szCs w:val="32"/>
        </w:rPr>
        <w:t>4000</w:t>
      </w:r>
      <w:r>
        <w:rPr>
          <w:rFonts w:eastAsia="仿宋" w:cs="Times New Roman"/>
          <w:szCs w:val="32"/>
        </w:rPr>
        <w:t>字摘要）</w:t>
      </w:r>
      <w:r>
        <w:rPr>
          <w:rFonts w:eastAsia="仿宋" w:cs="宋体" w:hint="eastAsia"/>
          <w:kern w:val="2"/>
          <w:szCs w:val="32"/>
          <w14:ligatures w14:val="standardContextual"/>
        </w:rPr>
        <w:t>；二是</w:t>
      </w:r>
      <w:r>
        <w:rPr>
          <w:rFonts w:eastAsia="仿宋" w:cs="Times New Roman" w:hint="eastAsia"/>
          <w:szCs w:val="32"/>
        </w:rPr>
        <w:t>以中国人民大学福州研究院为署名单位</w:t>
      </w:r>
      <w:r>
        <w:rPr>
          <w:rFonts w:eastAsia="仿宋" w:cs="宋体" w:hint="eastAsia"/>
          <w:kern w:val="2"/>
          <w:szCs w:val="32"/>
          <w14:ligatures w14:val="standardContextual"/>
        </w:rPr>
        <w:t>在</w:t>
      </w:r>
      <w:r>
        <w:rPr>
          <w:rFonts w:eastAsia="仿宋" w:cs="宋体" w:hint="eastAsia"/>
          <w:kern w:val="2"/>
          <w:szCs w:val="32"/>
          <w14:ligatures w14:val="standardContextual"/>
        </w:rPr>
        <w:t>CSSCI</w:t>
      </w:r>
      <w:r>
        <w:rPr>
          <w:rFonts w:eastAsia="仿宋" w:cs="宋体" w:hint="eastAsia"/>
          <w:kern w:val="2"/>
          <w:szCs w:val="32"/>
          <w14:ligatures w14:val="standardContextual"/>
        </w:rPr>
        <w:t>核心期刊（含扩展版）发表相关学术论文</w:t>
      </w:r>
      <w:r>
        <w:rPr>
          <w:rFonts w:eastAsia="仿宋" w:cs="宋体" w:hint="eastAsia"/>
          <w:kern w:val="2"/>
          <w:szCs w:val="32"/>
          <w14:ligatures w14:val="standardContextual"/>
        </w:rPr>
        <w:t>1</w:t>
      </w:r>
      <w:r>
        <w:rPr>
          <w:rFonts w:eastAsia="仿宋" w:cs="宋体" w:hint="eastAsia"/>
          <w:kern w:val="2"/>
          <w:szCs w:val="32"/>
          <w14:ligatures w14:val="standardContextual"/>
        </w:rPr>
        <w:t>篇以上或者</w:t>
      </w:r>
      <w:r>
        <w:rPr>
          <w:rFonts w:eastAsia="仿宋" w:cs="Times New Roman" w:hint="eastAsia"/>
          <w:szCs w:val="32"/>
        </w:rPr>
        <w:t>以课题研究为基础</w:t>
      </w:r>
      <w:r>
        <w:rPr>
          <w:rFonts w:eastAsia="仿宋" w:cs="宋体" w:hint="eastAsia"/>
          <w:kern w:val="2"/>
          <w:szCs w:val="32"/>
          <w14:ligatures w14:val="standardContextual"/>
        </w:rPr>
        <w:t>撰写的</w:t>
      </w:r>
      <w:proofErr w:type="gramStart"/>
      <w:r>
        <w:rPr>
          <w:rFonts w:eastAsia="仿宋" w:cs="宋体" w:hint="eastAsia"/>
          <w:kern w:val="2"/>
          <w:szCs w:val="32"/>
          <w14:ligatures w14:val="standardContextual"/>
        </w:rPr>
        <w:t>咨政报告</w:t>
      </w:r>
      <w:proofErr w:type="gramEnd"/>
      <w:r>
        <w:rPr>
          <w:rFonts w:eastAsia="仿宋" w:cs="宋体" w:hint="eastAsia"/>
          <w:kern w:val="2"/>
          <w:szCs w:val="32"/>
          <w14:ligatures w14:val="standardContextual"/>
        </w:rPr>
        <w:t>获得司局级以上采纳；参加中国人民大学福州研究院习近平总书记关于教育的重要论述学术研讨会（</w:t>
      </w:r>
      <w:r>
        <w:rPr>
          <w:rFonts w:eastAsia="仿宋" w:cs="宋体" w:hint="eastAsia"/>
          <w:kern w:val="2"/>
          <w:szCs w:val="32"/>
          <w14:ligatures w14:val="standardContextual"/>
        </w:rPr>
        <w:t>2026</w:t>
      </w:r>
      <w:r>
        <w:rPr>
          <w:rFonts w:eastAsia="仿宋" w:cs="宋体" w:hint="eastAsia"/>
          <w:kern w:val="2"/>
          <w:szCs w:val="32"/>
          <w14:ligatures w14:val="standardContextual"/>
        </w:rPr>
        <w:t>），进行成果发布。</w:t>
      </w:r>
    </w:p>
    <w:p w14:paraId="37F124FD" w14:textId="77777777" w:rsidR="008862DB" w:rsidRDefault="00000000">
      <w:pPr>
        <w:pStyle w:val="a6"/>
        <w:spacing w:beforeLines="50" w:before="221" w:afterLines="50" w:after="221" w:line="560" w:lineRule="exact"/>
        <w:rPr>
          <w:rFonts w:eastAsia="黑体" w:cs="Times New Roman"/>
          <w:szCs w:val="32"/>
        </w:rPr>
      </w:pPr>
      <w:r>
        <w:rPr>
          <w:rFonts w:eastAsia="黑体" w:cs="Times New Roman" w:hint="eastAsia"/>
          <w:szCs w:val="32"/>
        </w:rPr>
        <w:t>十、习近平总书记在福建工作期间关于加强教师队伍建设的重要论述研究（</w:t>
      </w:r>
      <w:r>
        <w:rPr>
          <w:rFonts w:eastAsia="黑体" w:cs="Times New Roman" w:hint="eastAsia"/>
          <w:szCs w:val="32"/>
        </w:rPr>
        <w:t>10</w:t>
      </w:r>
      <w:r>
        <w:rPr>
          <w:rFonts w:eastAsia="黑体" w:cs="Times New Roman" w:hint="eastAsia"/>
          <w:szCs w:val="32"/>
        </w:rPr>
        <w:t>万）</w:t>
      </w:r>
    </w:p>
    <w:p w14:paraId="3924C46B" w14:textId="77777777" w:rsidR="008862DB" w:rsidRDefault="00000000">
      <w:pPr>
        <w:pStyle w:val="a6"/>
        <w:spacing w:line="560" w:lineRule="exact"/>
        <w:ind w:firstLineChars="200" w:firstLine="640"/>
        <w:rPr>
          <w:rFonts w:eastAsia="仿宋" w:cs="宋体"/>
          <w:kern w:val="2"/>
          <w:szCs w:val="32"/>
          <w14:ligatures w14:val="standardContextual"/>
        </w:rPr>
      </w:pPr>
      <w:r>
        <w:rPr>
          <w:rFonts w:eastAsia="仿宋" w:cs="宋体" w:hint="eastAsia"/>
          <w:kern w:val="2"/>
          <w:szCs w:val="32"/>
          <w14:ligatures w14:val="standardContextual"/>
        </w:rPr>
        <w:t>聚焦习近平同志在福建工作期间关于加强教师队伍建设的重要理念与实践探索，通过历史文献梳理、深度访谈与案例分析，系统梳理总书记关于加强教师队伍建设的思想脉络与政策轨迹。在此基础上，深入探析这些理念与实践同当下构建素质精良的教师队伍体系，弘扬教育家精神等战略部署之间的内在逻辑关联，揭示福建经验作为理论雏形与实践来源的重要价值。</w:t>
      </w:r>
    </w:p>
    <w:p w14:paraId="529013C9" w14:textId="77777777" w:rsidR="008862DB" w:rsidRDefault="00000000">
      <w:pPr>
        <w:pStyle w:val="a6"/>
        <w:spacing w:line="560" w:lineRule="exact"/>
        <w:ind w:firstLineChars="200" w:firstLine="640"/>
        <w:rPr>
          <w:rFonts w:eastAsia="仿宋" w:cs="宋体"/>
          <w:kern w:val="2"/>
          <w:szCs w:val="32"/>
          <w14:ligatures w14:val="standardContextual"/>
        </w:rPr>
      </w:pPr>
      <w:proofErr w:type="gramStart"/>
      <w:r>
        <w:rPr>
          <w:rFonts w:eastAsia="楷体" w:cs="Times New Roman" w:hint="eastAsia"/>
          <w:szCs w:val="32"/>
        </w:rPr>
        <w:t>结项要求</w:t>
      </w:r>
      <w:proofErr w:type="gramEnd"/>
      <w:r>
        <w:rPr>
          <w:rFonts w:eastAsia="楷体" w:cs="Times New Roman"/>
          <w:szCs w:val="32"/>
        </w:rPr>
        <w:t>：</w:t>
      </w:r>
      <w:r>
        <w:rPr>
          <w:rFonts w:eastAsia="仿宋" w:cs="Times New Roman" w:hint="eastAsia"/>
          <w:szCs w:val="32"/>
        </w:rPr>
        <w:t>一是提交</w:t>
      </w:r>
      <w:r>
        <w:rPr>
          <w:rFonts w:eastAsia="仿宋" w:cs="Times New Roman"/>
          <w:szCs w:val="32"/>
        </w:rPr>
        <w:t>2</w:t>
      </w:r>
      <w:r>
        <w:rPr>
          <w:rFonts w:eastAsia="仿宋" w:cs="Times New Roman"/>
          <w:szCs w:val="32"/>
        </w:rPr>
        <w:t>万字及以上</w:t>
      </w:r>
      <w:r>
        <w:rPr>
          <w:rFonts w:eastAsia="仿宋" w:cs="Times New Roman" w:hint="eastAsia"/>
          <w:szCs w:val="32"/>
        </w:rPr>
        <w:t>的研究报告</w:t>
      </w:r>
      <w:r>
        <w:rPr>
          <w:rFonts w:eastAsia="仿宋" w:cs="Times New Roman"/>
          <w:szCs w:val="32"/>
        </w:rPr>
        <w:t>（含</w:t>
      </w:r>
      <w:r>
        <w:rPr>
          <w:rFonts w:eastAsia="仿宋" w:cs="Times New Roman"/>
          <w:szCs w:val="32"/>
        </w:rPr>
        <w:t>4000</w:t>
      </w:r>
      <w:r>
        <w:rPr>
          <w:rFonts w:eastAsia="仿宋" w:cs="Times New Roman"/>
          <w:szCs w:val="32"/>
        </w:rPr>
        <w:t>字摘要）</w:t>
      </w:r>
      <w:r>
        <w:rPr>
          <w:rFonts w:eastAsia="仿宋" w:cs="宋体" w:hint="eastAsia"/>
          <w:kern w:val="2"/>
          <w:szCs w:val="32"/>
          <w14:ligatures w14:val="standardContextual"/>
        </w:rPr>
        <w:t>；二是</w:t>
      </w:r>
      <w:r>
        <w:rPr>
          <w:rFonts w:eastAsia="仿宋" w:cs="Times New Roman" w:hint="eastAsia"/>
          <w:szCs w:val="32"/>
        </w:rPr>
        <w:t>以中国人民大学福州研究院为署名单位</w:t>
      </w:r>
      <w:r>
        <w:rPr>
          <w:rFonts w:eastAsia="仿宋" w:cs="宋体" w:hint="eastAsia"/>
          <w:kern w:val="2"/>
          <w:szCs w:val="32"/>
          <w14:ligatures w14:val="standardContextual"/>
        </w:rPr>
        <w:t>在</w:t>
      </w:r>
      <w:r>
        <w:rPr>
          <w:rFonts w:eastAsia="仿宋" w:cs="宋体" w:hint="eastAsia"/>
          <w:kern w:val="2"/>
          <w:szCs w:val="32"/>
          <w14:ligatures w14:val="standardContextual"/>
        </w:rPr>
        <w:t>CSSCI</w:t>
      </w:r>
      <w:r>
        <w:rPr>
          <w:rFonts w:eastAsia="仿宋" w:cs="宋体" w:hint="eastAsia"/>
          <w:kern w:val="2"/>
          <w:szCs w:val="32"/>
          <w14:ligatures w14:val="standardContextual"/>
        </w:rPr>
        <w:t>核心期刊（含扩展版）发表相关学术论文</w:t>
      </w:r>
      <w:r>
        <w:rPr>
          <w:rFonts w:eastAsia="仿宋" w:cs="宋体" w:hint="eastAsia"/>
          <w:kern w:val="2"/>
          <w:szCs w:val="32"/>
          <w14:ligatures w14:val="standardContextual"/>
        </w:rPr>
        <w:t>1</w:t>
      </w:r>
      <w:r>
        <w:rPr>
          <w:rFonts w:eastAsia="仿宋" w:cs="宋体" w:hint="eastAsia"/>
          <w:kern w:val="2"/>
          <w:szCs w:val="32"/>
          <w14:ligatures w14:val="standardContextual"/>
        </w:rPr>
        <w:t>篇以上或者</w:t>
      </w:r>
      <w:r>
        <w:rPr>
          <w:rFonts w:eastAsia="仿宋" w:cs="Times New Roman" w:hint="eastAsia"/>
          <w:szCs w:val="32"/>
        </w:rPr>
        <w:t>以课题研究为</w:t>
      </w:r>
      <w:r>
        <w:rPr>
          <w:rFonts w:eastAsia="仿宋" w:cs="Times New Roman" w:hint="eastAsia"/>
          <w:szCs w:val="32"/>
        </w:rPr>
        <w:lastRenderedPageBreak/>
        <w:t>基础</w:t>
      </w:r>
      <w:r>
        <w:rPr>
          <w:rFonts w:eastAsia="仿宋" w:cs="宋体" w:hint="eastAsia"/>
          <w:kern w:val="2"/>
          <w:szCs w:val="32"/>
          <w14:ligatures w14:val="standardContextual"/>
        </w:rPr>
        <w:t>撰写的</w:t>
      </w:r>
      <w:proofErr w:type="gramStart"/>
      <w:r>
        <w:rPr>
          <w:rFonts w:eastAsia="仿宋" w:cs="宋体" w:hint="eastAsia"/>
          <w:kern w:val="2"/>
          <w:szCs w:val="32"/>
          <w14:ligatures w14:val="standardContextual"/>
        </w:rPr>
        <w:t>咨政报告</w:t>
      </w:r>
      <w:proofErr w:type="gramEnd"/>
      <w:r>
        <w:rPr>
          <w:rFonts w:eastAsia="仿宋" w:cs="宋体" w:hint="eastAsia"/>
          <w:kern w:val="2"/>
          <w:szCs w:val="32"/>
          <w14:ligatures w14:val="standardContextual"/>
        </w:rPr>
        <w:t>获得司局级以上采纳；三是参加中国人民大学福州研究院习近平总书记关于教育的重要论述学术研讨会（</w:t>
      </w:r>
      <w:r>
        <w:rPr>
          <w:rFonts w:eastAsia="仿宋" w:cs="宋体" w:hint="eastAsia"/>
          <w:kern w:val="2"/>
          <w:szCs w:val="32"/>
          <w14:ligatures w14:val="standardContextual"/>
        </w:rPr>
        <w:t>2026</w:t>
      </w:r>
      <w:r>
        <w:rPr>
          <w:rFonts w:eastAsia="仿宋" w:cs="宋体" w:hint="eastAsia"/>
          <w:kern w:val="2"/>
          <w:szCs w:val="32"/>
          <w14:ligatures w14:val="standardContextual"/>
        </w:rPr>
        <w:t>），进行成果发布。</w:t>
      </w:r>
    </w:p>
    <w:sectPr w:rsidR="008862DB">
      <w:footerReference w:type="default" r:id="rId7"/>
      <w:footerReference w:type="first" r:id="rId8"/>
      <w:pgSz w:w="11906" w:h="16838"/>
      <w:pgMar w:top="1701" w:right="1417" w:bottom="1474" w:left="1417" w:header="1020" w:footer="1247" w:gutter="0"/>
      <w:cols w:space="0"/>
      <w:docGrid w:type="lines" w:linePitch="4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5467F" w14:textId="77777777" w:rsidR="005C67E5" w:rsidRDefault="005C67E5">
      <w:r>
        <w:separator/>
      </w:r>
    </w:p>
  </w:endnote>
  <w:endnote w:type="continuationSeparator" w:id="0">
    <w:p w14:paraId="75BE7ADC" w14:textId="77777777" w:rsidR="005C67E5" w:rsidRDefault="005C67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subsetted="1" w:fontKey="{59885DAB-62D9-4E82-B5EB-1543E300E0C1}"/>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微软雅黑"/>
    <w:charset w:val="86"/>
    <w:family w:val="modern"/>
    <w:pitch w:val="default"/>
    <w:sig w:usb0="00000001" w:usb1="080E0000" w:usb2="00000000" w:usb3="00000000" w:csb0="00040000" w:csb1="00000000"/>
  </w:font>
  <w:font w:name="Arial">
    <w:panose1 w:val="020B0604020202020204"/>
    <w:charset w:val="00"/>
    <w:family w:val="swiss"/>
    <w:pitch w:val="variable"/>
    <w:sig w:usb0="E0002EFF" w:usb1="C000785B" w:usb2="00000009" w:usb3="00000000" w:csb0="000001FF" w:csb1="00000000"/>
  </w:font>
  <w:font w:name="方正小标宋_GBK">
    <w:altName w:val="微软雅黑"/>
    <w:charset w:val="86"/>
    <w:family w:val="script"/>
    <w:pitch w:val="default"/>
    <w:sig w:usb0="00000001" w:usb1="080E0000" w:usb2="00000000" w:usb3="00000000" w:csb0="00040000" w:csb1="00000000"/>
  </w:font>
  <w:font w:name="方正小标宋简体">
    <w:charset w:val="86"/>
    <w:family w:val="auto"/>
    <w:pitch w:val="default"/>
    <w:sig w:usb0="00000001" w:usb1="08000000" w:usb2="00000000" w:usb3="00000000" w:csb0="00040000" w:csb1="00000000"/>
    <w:embedRegular r:id="rId2" w:subsetted="1" w:fontKey="{B64126DD-1058-4E69-992C-87CEECC9123F}"/>
  </w:font>
  <w:font w:name="黑体">
    <w:altName w:val="SimHei"/>
    <w:panose1 w:val="02010609060101010101"/>
    <w:charset w:val="86"/>
    <w:family w:val="modern"/>
    <w:pitch w:val="fixed"/>
    <w:sig w:usb0="800002BF" w:usb1="38CF7CFA" w:usb2="00000016" w:usb3="00000000" w:csb0="00040001" w:csb1="00000000"/>
    <w:embedRegular r:id="rId3" w:subsetted="1" w:fontKey="{76ACB5A6-8CAA-4C11-BFCD-67C3E33D4345}"/>
  </w:font>
  <w:font w:name="楷体">
    <w:panose1 w:val="02010609060101010101"/>
    <w:charset w:val="86"/>
    <w:family w:val="modern"/>
    <w:pitch w:val="fixed"/>
    <w:sig w:usb0="800002BF" w:usb1="38CF7CFA" w:usb2="00000016" w:usb3="00000000" w:csb0="00040001" w:csb1="00000000"/>
    <w:embedRegular r:id="rId4" w:subsetted="1" w:fontKey="{AC38AEF7-F903-48BF-B51D-8DB522264BA0}"/>
  </w:font>
  <w:font w:name="仿宋">
    <w:panose1 w:val="02010609060101010101"/>
    <w:charset w:val="86"/>
    <w:family w:val="modern"/>
    <w:pitch w:val="fixed"/>
    <w:sig w:usb0="800002BF" w:usb1="38CF7CFA" w:usb2="00000016" w:usb3="00000000" w:csb0="00040001" w:csb1="00000000"/>
    <w:embedRegular r:id="rId5" w:subsetted="1" w:fontKey="{EC1F3335-0392-4A99-99AA-FD909BD55475}"/>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E5E0" w14:textId="77777777" w:rsidR="008862DB" w:rsidRDefault="00000000">
    <w:pPr>
      <w:pStyle w:val="aa"/>
    </w:pPr>
    <w:r>
      <w:rPr>
        <w:noProof/>
      </w:rPr>
      <mc:AlternateContent>
        <mc:Choice Requires="wps">
          <w:drawing>
            <wp:anchor distT="0" distB="0" distL="114300" distR="114300" simplePos="0" relativeHeight="251659264" behindDoc="0" locked="0" layoutInCell="1" allowOverlap="1" wp14:anchorId="7F332D5B" wp14:editId="69600819">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6C1D59F" w14:textId="77777777" w:rsidR="008862DB" w:rsidRDefault="00000000">
                          <w:pPr>
                            <w:pStyle w:val="aa"/>
                            <w:rPr>
                              <w:rFonts w:ascii="Times New Roman" w:hAnsi="Times New Roman"/>
                              <w:sz w:val="28"/>
                              <w:szCs w:val="52"/>
                            </w:rPr>
                          </w:pPr>
                          <w:r>
                            <w:rPr>
                              <w:rFonts w:ascii="Times New Roman" w:hAnsi="Times New Roman"/>
                              <w:sz w:val="28"/>
                              <w:szCs w:val="52"/>
                            </w:rPr>
                            <w:t xml:space="preserve">— </w:t>
                          </w:r>
                          <w:r>
                            <w:rPr>
                              <w:rFonts w:ascii="Times New Roman" w:hAnsi="Times New Roman"/>
                              <w:sz w:val="28"/>
                              <w:szCs w:val="52"/>
                            </w:rPr>
                            <w:fldChar w:fldCharType="begin"/>
                          </w:r>
                          <w:r>
                            <w:rPr>
                              <w:rFonts w:ascii="Times New Roman" w:hAnsi="Times New Roman"/>
                              <w:sz w:val="28"/>
                              <w:szCs w:val="52"/>
                            </w:rPr>
                            <w:instrText xml:space="preserve"> PAGE  \* MERGEFORMAT </w:instrText>
                          </w:r>
                          <w:r>
                            <w:rPr>
                              <w:rFonts w:ascii="Times New Roman" w:hAnsi="Times New Roman"/>
                              <w:sz w:val="28"/>
                              <w:szCs w:val="52"/>
                            </w:rPr>
                            <w:fldChar w:fldCharType="separate"/>
                          </w:r>
                          <w:r>
                            <w:rPr>
                              <w:rFonts w:ascii="Times New Roman" w:hAnsi="Times New Roman"/>
                              <w:sz w:val="28"/>
                              <w:szCs w:val="52"/>
                            </w:rPr>
                            <w:t>3</w:t>
                          </w:r>
                          <w:r>
                            <w:rPr>
                              <w:rFonts w:ascii="Times New Roman" w:hAnsi="Times New Roman"/>
                              <w:sz w:val="28"/>
                              <w:szCs w:val="52"/>
                            </w:rPr>
                            <w:fldChar w:fldCharType="end"/>
                          </w:r>
                          <w:r>
                            <w:rPr>
                              <w:rFonts w:ascii="Times New Roman" w:hAnsi="Times New Roman"/>
                              <w:sz w:val="28"/>
                              <w:szCs w:val="52"/>
                            </w:rPr>
                            <w:t xml:space="preserve"> —</w:t>
                          </w:r>
                        </w:p>
                      </w:txbxContent>
                    </wps:txbx>
                    <wps:bodyPr wrap="none" lIns="0" tIns="0" rIns="0" bIns="0">
                      <a:spAutoFit/>
                    </wps:bodyPr>
                  </wps:wsp>
                </a:graphicData>
              </a:graphic>
            </wp:anchor>
          </w:drawing>
        </mc:Choice>
        <mc:Fallback>
          <w:pict>
            <v:shapetype w14:anchorId="7F332D5B"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" filled="f" stroked="f">
              <v:textbox style="mso-fit-shape-to-text:t" inset="0,0,0,0">
                <w:txbxContent>
                  <w:p w14:paraId="16C1D59F" w14:textId="77777777" w:rsidR="008862DB" w:rsidRDefault="00000000">
                    <w:pPr>
                      <w:pStyle w:val="aa"/>
                      <w:rPr>
                        <w:rFonts w:ascii="Times New Roman" w:hAnsi="Times New Roman"/>
                        <w:sz w:val="28"/>
                        <w:szCs w:val="52"/>
                      </w:rPr>
                    </w:pPr>
                    <w:r>
                      <w:rPr>
                        <w:rFonts w:ascii="Times New Roman" w:hAnsi="Times New Roman"/>
                        <w:sz w:val="28"/>
                        <w:szCs w:val="52"/>
                      </w:rPr>
                      <w:t xml:space="preserve">— </w:t>
                    </w:r>
                    <w:r>
                      <w:rPr>
                        <w:rFonts w:ascii="Times New Roman" w:hAnsi="Times New Roman"/>
                        <w:sz w:val="28"/>
                        <w:szCs w:val="52"/>
                      </w:rPr>
                      <w:fldChar w:fldCharType="begin"/>
                    </w:r>
                    <w:r>
                      <w:rPr>
                        <w:rFonts w:ascii="Times New Roman" w:hAnsi="Times New Roman"/>
                        <w:sz w:val="28"/>
                        <w:szCs w:val="52"/>
                      </w:rPr>
                      <w:instrText xml:space="preserve"> PAGE  \* MERGEFORMAT </w:instrText>
                    </w:r>
                    <w:r>
                      <w:rPr>
                        <w:rFonts w:ascii="Times New Roman" w:hAnsi="Times New Roman"/>
                        <w:sz w:val="28"/>
                        <w:szCs w:val="52"/>
                      </w:rPr>
                      <w:fldChar w:fldCharType="separate"/>
                    </w:r>
                    <w:r>
                      <w:rPr>
                        <w:rFonts w:ascii="Times New Roman" w:hAnsi="Times New Roman"/>
                        <w:sz w:val="28"/>
                        <w:szCs w:val="52"/>
                      </w:rPr>
                      <w:t>3</w:t>
                    </w:r>
                    <w:r>
                      <w:rPr>
                        <w:rFonts w:ascii="Times New Roman" w:hAnsi="Times New Roman"/>
                        <w:sz w:val="28"/>
                        <w:szCs w:val="52"/>
                      </w:rPr>
                      <w:fldChar w:fldCharType="end"/>
                    </w:r>
                    <w:r>
                      <w:rPr>
                        <w:rFonts w:ascii="Times New Roman" w:hAnsi="Times New Roman"/>
                        <w:sz w:val="28"/>
                        <w:szCs w:val="52"/>
                      </w:rPr>
                      <w:t xml:space="preserve"> —</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1B07A" w14:textId="77777777" w:rsidR="008862DB" w:rsidRDefault="00000000">
    <w:pPr>
      <w:pStyle w:val="aa"/>
    </w:pPr>
    <w:r>
      <w:rPr>
        <w:noProof/>
      </w:rPr>
      <mc:AlternateContent>
        <mc:Choice Requires="wps">
          <w:drawing>
            <wp:anchor distT="0" distB="0" distL="114300" distR="114300" simplePos="0" relativeHeight="251660288" behindDoc="0" locked="0" layoutInCell="1" allowOverlap="1" wp14:anchorId="242393A8" wp14:editId="03E44F14">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BA6AD6" w14:textId="77777777" w:rsidR="008862DB" w:rsidRDefault="00000000">
                          <w:pPr>
                            <w:pStyle w:val="aa"/>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42393A8" id="_x0000_t202" coordsize="21600,21600" o:spt="202" path="m,l,21600r21600,l21600,xe">
              <v:stroke joinstyle="miter"/>
              <v:path gradientshapeok="t" o:connecttype="rect"/>
            </v:shapetype>
            <v:shape id="文本框 2"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68BA6AD6" w14:textId="77777777" w:rsidR="008862DB" w:rsidRDefault="00000000">
                    <w:pPr>
                      <w:pStyle w:val="aa"/>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0802F" w14:textId="77777777" w:rsidR="005C67E5" w:rsidRDefault="005C67E5">
      <w:r>
        <w:separator/>
      </w:r>
    </w:p>
  </w:footnote>
  <w:footnote w:type="continuationSeparator" w:id="0">
    <w:p w14:paraId="2846326E" w14:textId="77777777" w:rsidR="005C67E5" w:rsidRDefault="005C67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RhYTE4ZjBlMjJkZmQ4MDQ3ODljZmJjMzlhZmM4N2YifQ=="/>
  </w:docVars>
  <w:rsids>
    <w:rsidRoot w:val="7FFBBC45"/>
    <w:rsid w:val="CFFF0CEA"/>
    <w:rsid w:val="F6F5D04B"/>
    <w:rsid w:val="FDF10D84"/>
    <w:rsid w:val="00000EBE"/>
    <w:rsid w:val="00014149"/>
    <w:rsid w:val="0008455F"/>
    <w:rsid w:val="000E3A2F"/>
    <w:rsid w:val="00190C01"/>
    <w:rsid w:val="001B4DE5"/>
    <w:rsid w:val="001C68B1"/>
    <w:rsid w:val="00252FC6"/>
    <w:rsid w:val="0026620D"/>
    <w:rsid w:val="002F2F99"/>
    <w:rsid w:val="003350C8"/>
    <w:rsid w:val="00407022"/>
    <w:rsid w:val="00450192"/>
    <w:rsid w:val="00496B2B"/>
    <w:rsid w:val="00531093"/>
    <w:rsid w:val="005C67E5"/>
    <w:rsid w:val="005D60A9"/>
    <w:rsid w:val="00665B3D"/>
    <w:rsid w:val="007777EE"/>
    <w:rsid w:val="0078443D"/>
    <w:rsid w:val="007C7A1D"/>
    <w:rsid w:val="007F71C8"/>
    <w:rsid w:val="00842406"/>
    <w:rsid w:val="008862DB"/>
    <w:rsid w:val="009A700C"/>
    <w:rsid w:val="00A74D0C"/>
    <w:rsid w:val="00AE22D7"/>
    <w:rsid w:val="00C14C00"/>
    <w:rsid w:val="00C21E81"/>
    <w:rsid w:val="00CB1690"/>
    <w:rsid w:val="00CC5ADD"/>
    <w:rsid w:val="00D408B2"/>
    <w:rsid w:val="00DB58A7"/>
    <w:rsid w:val="00DC4A50"/>
    <w:rsid w:val="00DE7450"/>
    <w:rsid w:val="00E76A98"/>
    <w:rsid w:val="00ED2705"/>
    <w:rsid w:val="00F00E8F"/>
    <w:rsid w:val="00F05B42"/>
    <w:rsid w:val="00F1627B"/>
    <w:rsid w:val="0BD70DBD"/>
    <w:rsid w:val="15E34F15"/>
    <w:rsid w:val="1A14215D"/>
    <w:rsid w:val="2ADB095F"/>
    <w:rsid w:val="321921D0"/>
    <w:rsid w:val="42454447"/>
    <w:rsid w:val="5A7DB793"/>
    <w:rsid w:val="5E631F7A"/>
    <w:rsid w:val="62684F57"/>
    <w:rsid w:val="6BCC34F3"/>
    <w:rsid w:val="7019409A"/>
    <w:rsid w:val="723524E8"/>
    <w:rsid w:val="753E30BF"/>
    <w:rsid w:val="76AF564D"/>
    <w:rsid w:val="77FFD7DE"/>
    <w:rsid w:val="78D234D0"/>
    <w:rsid w:val="797F21F7"/>
    <w:rsid w:val="79F72F5B"/>
    <w:rsid w:val="7FFBBC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D81B2B"/>
  <w15:docId w15:val="{23C93160-B77D-4085-9313-880E6A6A8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uiPriority="99" w:unhideWhenUsed="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rFonts w:ascii="Calibri" w:eastAsia="仿宋_GB2312" w:hAnsi="Calibri" w:cs="Times New Roman"/>
      <w:kern w:val="2"/>
      <w:sz w:val="32"/>
      <w:szCs w:val="32"/>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next w:val="a4"/>
    <w:uiPriority w:val="99"/>
    <w:unhideWhenUsed/>
    <w:qFormat/>
    <w:pPr>
      <w:widowControl w:val="0"/>
      <w:spacing w:before="100" w:beforeAutospacing="1" w:after="120"/>
      <w:jc w:val="both"/>
    </w:pPr>
    <w:rPr>
      <w:rFonts w:ascii="Times New Roman" w:eastAsia="宋体" w:hAnsi="Times New Roman" w:cs="Times New Roman"/>
      <w:kern w:val="2"/>
      <w:sz w:val="21"/>
      <w:szCs w:val="24"/>
    </w:rPr>
  </w:style>
  <w:style w:type="paragraph" w:styleId="a4">
    <w:name w:val="Title"/>
    <w:next w:val="a"/>
    <w:qFormat/>
    <w:pPr>
      <w:widowControl w:val="0"/>
      <w:spacing w:line="600" w:lineRule="exact"/>
      <w:jc w:val="center"/>
      <w:outlineLvl w:val="0"/>
    </w:pPr>
    <w:rPr>
      <w:rFonts w:ascii="Arial" w:eastAsia="方正小标宋_GBK" w:hAnsi="Arial" w:cs="Times New Roman"/>
      <w:kern w:val="2"/>
      <w:sz w:val="44"/>
      <w:szCs w:val="24"/>
    </w:rPr>
  </w:style>
  <w:style w:type="paragraph" w:styleId="a5">
    <w:name w:val="annotation text"/>
    <w:basedOn w:val="a"/>
    <w:qFormat/>
    <w:pPr>
      <w:jc w:val="left"/>
    </w:pPr>
  </w:style>
  <w:style w:type="paragraph" w:styleId="a6">
    <w:name w:val="Plain Text"/>
    <w:basedOn w:val="a"/>
    <w:link w:val="a7"/>
    <w:qFormat/>
    <w:pPr>
      <w:spacing w:line="600" w:lineRule="exact"/>
    </w:pPr>
    <w:rPr>
      <w:rFonts w:ascii="Times New Roman" w:hAnsi="Times New Roman" w:cs="仿宋_GB2312"/>
      <w:kern w:val="0"/>
      <w:szCs w:val="21"/>
    </w:rPr>
  </w:style>
  <w:style w:type="paragraph" w:styleId="a8">
    <w:name w:val="Balloon Text"/>
    <w:basedOn w:val="a"/>
    <w:link w:val="a9"/>
    <w:qFormat/>
    <w:rPr>
      <w:sz w:val="18"/>
      <w:szCs w:val="18"/>
    </w:rPr>
  </w:style>
  <w:style w:type="paragraph" w:styleId="aa">
    <w:name w:val="footer"/>
    <w:basedOn w:val="a"/>
    <w:qFormat/>
    <w:pPr>
      <w:tabs>
        <w:tab w:val="center" w:pos="4153"/>
        <w:tab w:val="right" w:pos="8306"/>
      </w:tabs>
      <w:snapToGrid w:val="0"/>
      <w:jc w:val="left"/>
    </w:pPr>
    <w:rPr>
      <w:sz w:val="18"/>
    </w:rPr>
  </w:style>
  <w:style w:type="paragraph" w:styleId="ab">
    <w:name w:val="header"/>
    <w:basedOn w:val="a"/>
    <w:link w:val="ac"/>
    <w:qFormat/>
    <w:pPr>
      <w:pBdr>
        <w:bottom w:val="single" w:sz="6" w:space="1" w:color="auto"/>
      </w:pBdr>
      <w:tabs>
        <w:tab w:val="center" w:pos="4153"/>
        <w:tab w:val="right" w:pos="8306"/>
      </w:tabs>
      <w:snapToGrid w:val="0"/>
      <w:jc w:val="center"/>
    </w:pPr>
    <w:rPr>
      <w:sz w:val="18"/>
      <w:szCs w:val="18"/>
    </w:rPr>
  </w:style>
  <w:style w:type="paragraph" w:customStyle="1" w:styleId="Default">
    <w:name w:val="Default"/>
    <w:basedOn w:val="a"/>
    <w:qFormat/>
    <w:pPr>
      <w:autoSpaceDE w:val="0"/>
      <w:autoSpaceDN w:val="0"/>
      <w:adjustRightInd w:val="0"/>
      <w:jc w:val="left"/>
    </w:pPr>
    <w:rPr>
      <w:rFonts w:eastAsia="宋体" w:cs="宋体"/>
      <w:color w:val="000000"/>
      <w:kern w:val="0"/>
      <w:sz w:val="24"/>
    </w:rPr>
  </w:style>
  <w:style w:type="character" w:customStyle="1" w:styleId="ac">
    <w:name w:val="页眉 字符"/>
    <w:basedOn w:val="a1"/>
    <w:link w:val="ab"/>
    <w:qFormat/>
    <w:rPr>
      <w:rFonts w:ascii="Calibri" w:eastAsia="仿宋_GB2312" w:hAnsi="Calibri" w:cs="Times New Roman"/>
      <w:kern w:val="2"/>
      <w:sz w:val="18"/>
      <w:szCs w:val="18"/>
    </w:rPr>
  </w:style>
  <w:style w:type="paragraph" w:customStyle="1" w:styleId="11">
    <w:name w:val="理事会标题1"/>
    <w:basedOn w:val="1"/>
    <w:autoRedefine/>
    <w:qFormat/>
    <w:pPr>
      <w:tabs>
        <w:tab w:val="left" w:pos="0"/>
      </w:tabs>
      <w:spacing w:before="0" w:after="0" w:line="600" w:lineRule="exact"/>
      <w:jc w:val="center"/>
    </w:pPr>
    <w:rPr>
      <w:rFonts w:ascii="Times New Roman" w:eastAsia="方正小标宋简体" w:hAnsi="Times New Roman"/>
      <w:b w:val="0"/>
    </w:rPr>
  </w:style>
  <w:style w:type="character" w:customStyle="1" w:styleId="10">
    <w:name w:val="标题 1 字符"/>
    <w:basedOn w:val="a1"/>
    <w:link w:val="1"/>
    <w:qFormat/>
    <w:rPr>
      <w:rFonts w:ascii="Calibri" w:eastAsia="仿宋_GB2312" w:hAnsi="Calibri" w:cs="Times New Roman"/>
      <w:b/>
      <w:bCs/>
      <w:kern w:val="44"/>
      <w:sz w:val="44"/>
      <w:szCs w:val="44"/>
    </w:rPr>
  </w:style>
  <w:style w:type="character" w:customStyle="1" w:styleId="a7">
    <w:name w:val="纯文本 字符"/>
    <w:basedOn w:val="a1"/>
    <w:link w:val="a6"/>
    <w:qFormat/>
    <w:rPr>
      <w:rFonts w:ascii="Times New Roman" w:eastAsia="仿宋_GB2312" w:hAnsi="Times New Roman" w:cs="仿宋_GB2312"/>
      <w:sz w:val="32"/>
      <w:szCs w:val="21"/>
    </w:rPr>
  </w:style>
  <w:style w:type="character" w:customStyle="1" w:styleId="a9">
    <w:name w:val="批注框文本 字符"/>
    <w:basedOn w:val="a1"/>
    <w:link w:val="a8"/>
    <w:qFormat/>
    <w:rPr>
      <w:rFonts w:ascii="Calibri" w:eastAsia="仿宋_GB2312" w:hAnsi="Calibr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2100</Words>
  <Characters>2143</Characters>
  <Application>Microsoft Office Word</Application>
  <DocSecurity>0</DocSecurity>
  <Lines>85</Lines>
  <Paragraphs>32</Paragraphs>
  <ScaleCrop>false</ScaleCrop>
  <Company/>
  <LinksUpToDate>false</LinksUpToDate>
  <CharactersWithSpaces>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吉云</dc:creator>
  <cp:lastModifiedBy>zian cheng</cp:lastModifiedBy>
  <cp:revision>2</cp:revision>
  <cp:lastPrinted>2025-04-17T08:40:00Z</cp:lastPrinted>
  <dcterms:created xsi:type="dcterms:W3CDTF">2026-04-07T02:49:00Z</dcterms:created>
  <dcterms:modified xsi:type="dcterms:W3CDTF">2026-04-07T02:49:00Z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76093DF3CEB44BA1B96980F9FE4272ED_13</vt:lpwstr>
  </property>
  <property fmtid="{D5CDD505-2E9C-101B-9397-08002B2CF9AE}" pid="4" name="KSOTemplateDocerSaveRecord">
    <vt:lpwstr>eyJoZGlkIjoiM2Q3ZTk5MzgyM2JlNWUwOWNmOTc1MmFkMTIwYjZlMDgiLCJ1c2VySWQiOiI1NzY1Mjg4OTcifQ==</vt:lpwstr>
  </property>
</Properties>
</file>