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D6512">
      <w:pPr>
        <w:pageBreakBefore/>
        <w:spacing w:line="560" w:lineRule="exact"/>
        <w:rPr>
          <w:rFonts w:eastAsia="黑体"/>
          <w:bCs w:val="0"/>
        </w:rPr>
      </w:pPr>
      <w:r>
        <w:rPr>
          <w:rFonts w:hint="eastAsia" w:ascii="黑体" w:hAnsi="黑体" w:eastAsia="黑体" w:cs="黑体"/>
          <w:bCs w:val="0"/>
        </w:rPr>
        <w:t>附件</w:t>
      </w:r>
      <w:r>
        <w:rPr>
          <w:rFonts w:eastAsia="黑体"/>
          <w:bCs w:val="0"/>
        </w:rPr>
        <w:t>1</w:t>
      </w:r>
    </w:p>
    <w:p w14:paraId="10B0AEED">
      <w:pPr>
        <w:spacing w:after="240" w:line="560" w:lineRule="exact"/>
        <w:jc w:val="center"/>
        <w:rPr>
          <w:rFonts w:hint="eastAsia" w:eastAsia="方正小标宋简体"/>
          <w:bCs w:val="0"/>
          <w:sz w:val="44"/>
          <w:szCs w:val="44"/>
        </w:rPr>
      </w:pPr>
      <w:r>
        <w:rPr>
          <w:rFonts w:hint="eastAsia" w:eastAsia="方正小标宋简体"/>
          <w:bCs w:val="0"/>
          <w:kern w:val="2"/>
          <w:sz w:val="44"/>
          <w:szCs w:val="44"/>
        </w:rPr>
        <w:t>2024年度自设课题任务清单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72"/>
        <w:gridCol w:w="3475"/>
        <w:gridCol w:w="5417"/>
        <w:gridCol w:w="1406"/>
        <w:gridCol w:w="1117"/>
      </w:tblGrid>
      <w:tr w14:paraId="30E8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74" w:type="pct"/>
            <w:vAlign w:val="center"/>
          </w:tcPr>
          <w:p w14:paraId="62A65240">
            <w:pPr>
              <w:pStyle w:val="2"/>
              <w:spacing w:line="400" w:lineRule="exact"/>
              <w:jc w:val="center"/>
              <w:rPr>
                <w:rFonts w:eastAsia="黑体" w:cs="Times New Roman"/>
                <w:bCs w:val="0"/>
                <w:sz w:val="28"/>
                <w:szCs w:val="20"/>
              </w:rPr>
            </w:pPr>
            <w:r>
              <w:rPr>
                <w:rFonts w:hint="eastAsia" w:eastAsia="黑体" w:cs="Times New Roman"/>
                <w:bCs w:val="0"/>
                <w:sz w:val="28"/>
                <w:szCs w:val="20"/>
              </w:rPr>
              <w:t>序号</w:t>
            </w:r>
          </w:p>
        </w:tc>
        <w:tc>
          <w:tcPr>
            <w:tcW w:w="696" w:type="pct"/>
            <w:vAlign w:val="center"/>
          </w:tcPr>
          <w:p w14:paraId="7DD6B6AA">
            <w:pPr>
              <w:pStyle w:val="2"/>
              <w:spacing w:line="400" w:lineRule="exact"/>
              <w:jc w:val="center"/>
              <w:rPr>
                <w:rFonts w:eastAsia="黑体" w:cs="Times New Roman"/>
                <w:bCs w:val="0"/>
                <w:sz w:val="28"/>
                <w:szCs w:val="20"/>
              </w:rPr>
            </w:pPr>
            <w:r>
              <w:rPr>
                <w:rFonts w:hint="eastAsia" w:eastAsia="黑体" w:cs="Times New Roman"/>
                <w:bCs w:val="0"/>
                <w:sz w:val="28"/>
                <w:szCs w:val="20"/>
              </w:rPr>
              <w:t>课题名称</w:t>
            </w:r>
          </w:p>
        </w:tc>
        <w:tc>
          <w:tcPr>
            <w:tcW w:w="1226" w:type="pct"/>
            <w:vAlign w:val="center"/>
          </w:tcPr>
          <w:p w14:paraId="6883ECFE">
            <w:pPr>
              <w:pStyle w:val="2"/>
              <w:spacing w:line="400" w:lineRule="exact"/>
              <w:jc w:val="center"/>
              <w:rPr>
                <w:rFonts w:eastAsia="黑体" w:cs="Times New Roman"/>
                <w:bCs w:val="0"/>
                <w:sz w:val="28"/>
                <w:szCs w:val="20"/>
              </w:rPr>
            </w:pPr>
            <w:r>
              <w:rPr>
                <w:rFonts w:hint="eastAsia" w:eastAsia="黑体" w:cs="Times New Roman"/>
                <w:bCs w:val="0"/>
                <w:sz w:val="28"/>
                <w:szCs w:val="20"/>
              </w:rPr>
              <w:t>研究内容</w:t>
            </w:r>
          </w:p>
        </w:tc>
        <w:tc>
          <w:tcPr>
            <w:tcW w:w="1911" w:type="pct"/>
            <w:vAlign w:val="center"/>
          </w:tcPr>
          <w:p w14:paraId="5D0D188C">
            <w:pPr>
              <w:pStyle w:val="2"/>
              <w:spacing w:line="400" w:lineRule="exact"/>
              <w:jc w:val="center"/>
              <w:rPr>
                <w:rFonts w:eastAsia="黑体" w:cs="Times New Roman"/>
                <w:bCs w:val="0"/>
                <w:sz w:val="28"/>
                <w:szCs w:val="20"/>
              </w:rPr>
            </w:pPr>
            <w:r>
              <w:rPr>
                <w:rFonts w:hint="eastAsia" w:eastAsia="黑体" w:cs="Times New Roman"/>
                <w:bCs w:val="0"/>
                <w:sz w:val="28"/>
                <w:szCs w:val="20"/>
              </w:rPr>
              <w:t>结项成果要求</w:t>
            </w:r>
          </w:p>
        </w:tc>
        <w:tc>
          <w:tcPr>
            <w:tcW w:w="496" w:type="pct"/>
            <w:vAlign w:val="center"/>
          </w:tcPr>
          <w:p w14:paraId="06AD1527">
            <w:pPr>
              <w:pStyle w:val="2"/>
              <w:spacing w:line="400" w:lineRule="exact"/>
              <w:jc w:val="center"/>
              <w:rPr>
                <w:rFonts w:eastAsia="黑体" w:cs="Times New Roman"/>
                <w:bCs w:val="0"/>
                <w:sz w:val="28"/>
                <w:szCs w:val="20"/>
              </w:rPr>
            </w:pPr>
            <w:r>
              <w:rPr>
                <w:rFonts w:hint="eastAsia" w:eastAsia="黑体" w:cs="Times New Roman"/>
                <w:bCs w:val="0"/>
                <w:sz w:val="28"/>
                <w:szCs w:val="20"/>
              </w:rPr>
              <w:t>拟支持经费/万元</w:t>
            </w:r>
          </w:p>
        </w:tc>
        <w:tc>
          <w:tcPr>
            <w:tcW w:w="394" w:type="pct"/>
            <w:vAlign w:val="center"/>
          </w:tcPr>
          <w:p w14:paraId="2060253E">
            <w:pPr>
              <w:pStyle w:val="2"/>
              <w:spacing w:line="400" w:lineRule="exact"/>
              <w:jc w:val="center"/>
              <w:rPr>
                <w:rFonts w:eastAsia="黑体" w:cs="Times New Roman"/>
                <w:bCs w:val="0"/>
                <w:sz w:val="28"/>
                <w:szCs w:val="20"/>
              </w:rPr>
            </w:pPr>
            <w:r>
              <w:rPr>
                <w:rFonts w:hint="eastAsia" w:eastAsia="黑体" w:cs="Times New Roman"/>
                <w:bCs w:val="0"/>
                <w:sz w:val="28"/>
                <w:szCs w:val="20"/>
              </w:rPr>
              <w:t>备注</w:t>
            </w:r>
          </w:p>
        </w:tc>
      </w:tr>
      <w:tr w14:paraId="57FB1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5" w:hRule="atLeast"/>
          <w:jc w:val="center"/>
        </w:trPr>
        <w:tc>
          <w:tcPr>
            <w:tcW w:w="274" w:type="pct"/>
            <w:vAlign w:val="center"/>
          </w:tcPr>
          <w:p w14:paraId="05A1319F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1</w:t>
            </w:r>
          </w:p>
        </w:tc>
        <w:tc>
          <w:tcPr>
            <w:tcW w:w="696" w:type="pct"/>
            <w:vAlign w:val="center"/>
          </w:tcPr>
          <w:p w14:paraId="4C55CA31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长江经济带</w:t>
            </w:r>
          </w:p>
          <w:p w14:paraId="0430C2F9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绿色创新发展指数报告</w:t>
            </w:r>
          </w:p>
          <w:p w14:paraId="28DF400E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（2024年）</w:t>
            </w:r>
          </w:p>
        </w:tc>
        <w:tc>
          <w:tcPr>
            <w:tcW w:w="1226" w:type="pct"/>
            <w:vAlign w:val="center"/>
          </w:tcPr>
          <w:p w14:paraId="37AC4014">
            <w:pPr>
              <w:pStyle w:val="2"/>
              <w:spacing w:line="300" w:lineRule="exact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以绿色、创新的新发展理念为切入点，构建长江经济带绿色创新发展指标评价体系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，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多维度评价2017-2022年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长江经济带110个城市的绿色创新发展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情况，总结先进城市经验并结合年度热点撰写1个专题报告，分析提出下一步政策建议。同步撰写30个代表性城市分报告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。</w:t>
            </w:r>
          </w:p>
        </w:tc>
        <w:tc>
          <w:tcPr>
            <w:tcW w:w="1911" w:type="pct"/>
            <w:vAlign w:val="center"/>
          </w:tcPr>
          <w:p w14:paraId="47025ECE">
            <w:pPr>
              <w:pStyle w:val="2"/>
              <w:numPr>
                <w:ilvl w:val="0"/>
                <w:numId w:val="1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结项时间：2024年11月底。</w:t>
            </w:r>
          </w:p>
          <w:p w14:paraId="289EFF8A">
            <w:pPr>
              <w:pStyle w:val="2"/>
              <w:numPr>
                <w:ilvl w:val="0"/>
                <w:numId w:val="1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研究报告：总报告（含年度专题报告）12万字及以上1篇，同步达到出版要求；</w:t>
            </w: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30个重点城市分报告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各1篇。</w:t>
            </w:r>
          </w:p>
          <w:p w14:paraId="3D11B254">
            <w:pPr>
              <w:pStyle w:val="2"/>
              <w:numPr>
                <w:ilvl w:val="0"/>
                <w:numId w:val="1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专题内参：4000字/篇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的内参3</w:t>
            </w: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篇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（其中1篇针对宜宾市），获得省部级及以上批示1次。</w:t>
            </w:r>
          </w:p>
          <w:p w14:paraId="11BE42E3">
            <w:pPr>
              <w:pStyle w:val="2"/>
              <w:numPr>
                <w:ilvl w:val="0"/>
                <w:numId w:val="1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媒体发文（或论文）：在省部级及以上媒体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或期刊发表文章</w:t>
            </w: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3篇（需至少包括1篇高水平学术论文，学术论文两年内见刊）。</w:t>
            </w:r>
          </w:p>
        </w:tc>
        <w:tc>
          <w:tcPr>
            <w:tcW w:w="496" w:type="pct"/>
            <w:vAlign w:val="center"/>
          </w:tcPr>
          <w:p w14:paraId="403E9BED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50</w:t>
            </w:r>
          </w:p>
        </w:tc>
        <w:tc>
          <w:tcPr>
            <w:tcW w:w="394" w:type="pct"/>
            <w:vAlign w:val="center"/>
          </w:tcPr>
          <w:p w14:paraId="32E3DEBD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需协助发布会和出版</w:t>
            </w:r>
          </w:p>
        </w:tc>
      </w:tr>
      <w:tr w14:paraId="4E58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" w:type="pct"/>
            <w:vAlign w:val="center"/>
          </w:tcPr>
          <w:p w14:paraId="0377F284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2</w:t>
            </w:r>
          </w:p>
        </w:tc>
        <w:tc>
          <w:tcPr>
            <w:tcW w:w="696" w:type="pct"/>
            <w:vAlign w:val="center"/>
          </w:tcPr>
          <w:p w14:paraId="0CC288A0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成渝地区双城经济圈协同发展指数报告（2024年）</w:t>
            </w:r>
          </w:p>
        </w:tc>
        <w:tc>
          <w:tcPr>
            <w:tcW w:w="1226" w:type="pct"/>
            <w:vAlign w:val="center"/>
          </w:tcPr>
          <w:p w14:paraId="336B9B3A">
            <w:pPr>
              <w:pStyle w:val="2"/>
              <w:spacing w:line="300" w:lineRule="exact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以协同发展为切入点，构建成渝地区双城经济圈协同发展指标评价体系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，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多维度评价2018-2023年成渝地区协同发展情况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，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深入分析发展趋势，提出相应政策建议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。</w:t>
            </w:r>
          </w:p>
        </w:tc>
        <w:tc>
          <w:tcPr>
            <w:tcW w:w="1911" w:type="pct"/>
            <w:vAlign w:val="center"/>
          </w:tcPr>
          <w:p w14:paraId="5EA0A5B8">
            <w:pPr>
              <w:pStyle w:val="2"/>
              <w:numPr>
                <w:ilvl w:val="0"/>
                <w:numId w:val="2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结项时间：2024年11月底。</w:t>
            </w:r>
          </w:p>
          <w:p w14:paraId="3D1DAF7F">
            <w:pPr>
              <w:pStyle w:val="2"/>
              <w:numPr>
                <w:ilvl w:val="0"/>
                <w:numId w:val="2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研究报告：10万字及以上报告1篇，同步达到出版要求。</w:t>
            </w:r>
          </w:p>
          <w:p w14:paraId="05FEFE95">
            <w:pPr>
              <w:pStyle w:val="2"/>
              <w:numPr>
                <w:ilvl w:val="0"/>
                <w:numId w:val="2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专题内参：4000字/篇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的内参3</w:t>
            </w: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篇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（其中1篇针对宜宾市），获得省部级及以上批示1次。</w:t>
            </w:r>
          </w:p>
          <w:p w14:paraId="0BF98E76">
            <w:pPr>
              <w:pStyle w:val="2"/>
              <w:numPr>
                <w:ilvl w:val="0"/>
                <w:numId w:val="2"/>
              </w:numPr>
              <w:spacing w:line="30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媒体发文（或论文）：在省部级及以上媒体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或期刊发表文章</w:t>
            </w: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3篇（需至少包括1篇高水平学术论文，学术论文两年内见刊）。</w:t>
            </w:r>
          </w:p>
        </w:tc>
        <w:tc>
          <w:tcPr>
            <w:tcW w:w="496" w:type="pct"/>
            <w:vAlign w:val="center"/>
          </w:tcPr>
          <w:p w14:paraId="1A3954AE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50</w:t>
            </w:r>
          </w:p>
        </w:tc>
        <w:tc>
          <w:tcPr>
            <w:tcW w:w="394" w:type="pct"/>
            <w:vAlign w:val="center"/>
          </w:tcPr>
          <w:p w14:paraId="07A173E6">
            <w:pPr>
              <w:pStyle w:val="2"/>
              <w:spacing w:line="30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需协助发布会和出版</w:t>
            </w:r>
          </w:p>
        </w:tc>
      </w:tr>
      <w:tr w14:paraId="69CC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274" w:type="pct"/>
            <w:vAlign w:val="center"/>
          </w:tcPr>
          <w:p w14:paraId="02F604EE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3</w:t>
            </w:r>
          </w:p>
        </w:tc>
        <w:tc>
          <w:tcPr>
            <w:tcW w:w="696" w:type="pct"/>
            <w:vAlign w:val="center"/>
          </w:tcPr>
          <w:p w14:paraId="16F8BB01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中国式现代化生动实践——长江经济带</w:t>
            </w:r>
          </w:p>
        </w:tc>
        <w:tc>
          <w:tcPr>
            <w:tcW w:w="1226" w:type="pct"/>
            <w:vAlign w:val="center"/>
          </w:tcPr>
          <w:p w14:paraId="684F2C36">
            <w:pPr>
              <w:pStyle w:val="2"/>
              <w:spacing w:line="360" w:lineRule="exact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kern w:val="2"/>
                <w:sz w:val="28"/>
                <w:szCs w:val="28"/>
              </w:rPr>
              <w:t>立足于长江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经济带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11省市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中国式现代化的生动实践，总结提炼10个地方的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经验做法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，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汇编形成一批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可供其他地方参考借鉴的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示范性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、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推广性的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撰写案例报告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。</w:t>
            </w:r>
          </w:p>
        </w:tc>
        <w:tc>
          <w:tcPr>
            <w:tcW w:w="1911" w:type="pct"/>
            <w:vAlign w:val="center"/>
          </w:tcPr>
          <w:p w14:paraId="0DC73269">
            <w:pPr>
              <w:pStyle w:val="2"/>
              <w:spacing w:line="36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1.结项时间：2024年12月底。</w:t>
            </w:r>
          </w:p>
          <w:p w14:paraId="4D0753A0">
            <w:pPr>
              <w:pStyle w:val="2"/>
              <w:spacing w:line="36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2.研究报告：10万字及以上案例汇编报告1篇，并出版同名著作。</w:t>
            </w:r>
          </w:p>
          <w:p w14:paraId="20C43561">
            <w:pPr>
              <w:pStyle w:val="2"/>
              <w:spacing w:line="360" w:lineRule="exact"/>
              <w:jc w:val="left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3.专题内参：4000字/篇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的内参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  <w:lang w:val="en-US" w:eastAsia="zh-CN"/>
              </w:rPr>
              <w:t>3</w:t>
            </w:r>
            <w:r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  <w:t>篇</w:t>
            </w: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（其中1篇针对宜宾市）。</w:t>
            </w:r>
          </w:p>
        </w:tc>
        <w:tc>
          <w:tcPr>
            <w:tcW w:w="496" w:type="pct"/>
            <w:vAlign w:val="center"/>
          </w:tcPr>
          <w:p w14:paraId="677C5CDF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color w:val="auto"/>
                <w:kern w:val="2"/>
                <w:sz w:val="28"/>
                <w:szCs w:val="28"/>
              </w:rPr>
              <w:t>35</w:t>
            </w:r>
          </w:p>
        </w:tc>
        <w:tc>
          <w:tcPr>
            <w:tcW w:w="394" w:type="pct"/>
            <w:vAlign w:val="center"/>
          </w:tcPr>
          <w:p w14:paraId="2F143E3A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费用含出版费</w:t>
            </w:r>
          </w:p>
        </w:tc>
      </w:tr>
      <w:tr w14:paraId="7A1B5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4" w:hRule="atLeast"/>
          <w:jc w:val="center"/>
        </w:trPr>
        <w:tc>
          <w:tcPr>
            <w:tcW w:w="274" w:type="pct"/>
            <w:vAlign w:val="center"/>
          </w:tcPr>
          <w:p w14:paraId="21888DCB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4</w:t>
            </w:r>
          </w:p>
        </w:tc>
        <w:tc>
          <w:tcPr>
            <w:tcW w:w="696" w:type="pct"/>
            <w:vAlign w:val="center"/>
          </w:tcPr>
          <w:p w14:paraId="29E964AF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长江经济带城市数据库</w:t>
            </w:r>
          </w:p>
          <w:p w14:paraId="1CF701BA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 xml:space="preserve">（平台） </w:t>
            </w:r>
          </w:p>
          <w:p w14:paraId="631F35CC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第一期建设</w:t>
            </w:r>
          </w:p>
        </w:tc>
        <w:tc>
          <w:tcPr>
            <w:tcW w:w="1226" w:type="pct"/>
            <w:vAlign w:val="center"/>
          </w:tcPr>
          <w:p w14:paraId="561463F1">
            <w:pPr>
              <w:pStyle w:val="2"/>
              <w:spacing w:line="360" w:lineRule="exact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以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经济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  <w:lang w:val="en-US" w:eastAsia="zh-CN"/>
              </w:rPr>
              <w:t>版图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和生态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  <w:lang w:val="en-US" w:eastAsia="zh-CN"/>
              </w:rPr>
              <w:t>版图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为重点，收录长江经济带110个城市经济、自然、人口、产业、文化等方面基础数据，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  <w:lang w:val="en-US" w:eastAsia="zh-CN"/>
              </w:rPr>
              <w:t>结合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长江经济带高质量发展经济版图（产业链、创新链、资金链）、生态版图、国土空间规划版图等研究成果，进行数据库搭建，实现数据录入、数据及图片调用展示、数据管理与数据安全等方面功能，并为后期数据分析、内容交互等平台深化运行奠定基础。</w:t>
            </w:r>
          </w:p>
        </w:tc>
        <w:tc>
          <w:tcPr>
            <w:tcW w:w="1911" w:type="pct"/>
            <w:vAlign w:val="center"/>
          </w:tcPr>
          <w:p w14:paraId="712E94F0">
            <w:pPr>
              <w:pStyle w:val="2"/>
              <w:spacing w:line="360" w:lineRule="exact"/>
              <w:jc w:val="left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kern w:val="2"/>
                <w:sz w:val="28"/>
                <w:szCs w:val="28"/>
              </w:rPr>
              <w:t>1.结项时间：2024年1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1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月。</w:t>
            </w:r>
          </w:p>
          <w:p w14:paraId="6B87DD1A">
            <w:pPr>
              <w:pStyle w:val="2"/>
              <w:spacing w:line="360" w:lineRule="exact"/>
              <w:jc w:val="left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cs="Times New Roman"/>
                <w:bCs w:val="0"/>
                <w:kern w:val="2"/>
                <w:sz w:val="28"/>
                <w:szCs w:val="28"/>
              </w:rPr>
              <w:t>2.数据库</w:t>
            </w: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（平台）搭建：完成数据库（平台）第一期建设</w:t>
            </w:r>
            <w:r>
              <w:rPr>
                <w:rFonts w:cs="Times New Roman"/>
                <w:bCs w:val="0"/>
                <w:kern w:val="2"/>
                <w:sz w:val="28"/>
                <w:szCs w:val="28"/>
              </w:rPr>
              <w:t>。</w:t>
            </w:r>
          </w:p>
        </w:tc>
        <w:tc>
          <w:tcPr>
            <w:tcW w:w="496" w:type="pct"/>
            <w:vAlign w:val="center"/>
          </w:tcPr>
          <w:p w14:paraId="097D19AD">
            <w:pPr>
              <w:pStyle w:val="2"/>
              <w:spacing w:line="360" w:lineRule="exact"/>
              <w:jc w:val="center"/>
              <w:rPr>
                <w:rFonts w:hint="default" w:eastAsia="仿宋_GB2312" w:cs="Times New Roman"/>
                <w:bCs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  <w:lang w:val="en-US" w:eastAsia="zh-CN"/>
              </w:rPr>
              <w:t>50</w:t>
            </w:r>
            <w:bookmarkStart w:id="0" w:name="_GoBack"/>
            <w:bookmarkEnd w:id="0"/>
          </w:p>
        </w:tc>
        <w:tc>
          <w:tcPr>
            <w:tcW w:w="394" w:type="pct"/>
            <w:vAlign w:val="center"/>
          </w:tcPr>
          <w:p w14:paraId="6CA3054E">
            <w:pPr>
              <w:pStyle w:val="2"/>
              <w:spacing w:line="360" w:lineRule="exact"/>
              <w:jc w:val="center"/>
              <w:rPr>
                <w:rFonts w:cs="Times New Roman"/>
                <w:bCs w:val="0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bCs w:val="0"/>
                <w:kern w:val="2"/>
                <w:sz w:val="28"/>
                <w:szCs w:val="28"/>
              </w:rPr>
              <w:t>数据展示窗口与长江经济带研究院官网页面集成</w:t>
            </w:r>
          </w:p>
        </w:tc>
      </w:tr>
    </w:tbl>
    <w:p w14:paraId="1E2DC1BD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3AD6B5"/>
    <w:multiLevelType w:val="singleLevel"/>
    <w:tmpl w:val="853AD6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5BD27C9"/>
    <w:multiLevelType w:val="singleLevel"/>
    <w:tmpl w:val="55BD27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321"/>
  <w:drawingGridVerticalSpacing w:val="4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hYTE4ZjBlMjJkZmQ4MDQ3ODljZmJjMzlhZmM4N2YifQ=="/>
  </w:docVars>
  <w:rsids>
    <w:rsidRoot w:val="00EF70AC"/>
    <w:rsid w:val="0060104D"/>
    <w:rsid w:val="00810E60"/>
    <w:rsid w:val="00EF70AC"/>
    <w:rsid w:val="00F50388"/>
    <w:rsid w:val="271B2528"/>
    <w:rsid w:val="3ADA0D83"/>
    <w:rsid w:val="4B6A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bCs/>
      <w:kern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autoRedefine/>
    <w:qFormat/>
    <w:uiPriority w:val="0"/>
    <w:pPr>
      <w:spacing w:line="600" w:lineRule="exact"/>
    </w:pPr>
    <w:rPr>
      <w:rFonts w:cs="仿宋_GB2312"/>
      <w:szCs w:val="21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纯文本 字符"/>
    <w:basedOn w:val="7"/>
    <w:link w:val="2"/>
    <w:qFormat/>
    <w:uiPriority w:val="0"/>
    <w:rPr>
      <w:rFonts w:ascii="Times New Roman" w:hAnsi="Times New Roman" w:eastAsia="仿宋_GB2312" w:cs="仿宋_GB2312"/>
      <w:b/>
      <w:bCs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969</Words>
  <Characters>1039</Characters>
  <Lines>7</Lines>
  <Paragraphs>2</Paragraphs>
  <TotalTime>4</TotalTime>
  <ScaleCrop>false</ScaleCrop>
  <LinksUpToDate>false</LinksUpToDate>
  <CharactersWithSpaces>1040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2024-08-27T08:09:00Z</dcterms:created>
  <dc:creator>宋鹭</dc:creator>
  <cp:lastModifiedBy>- 薄</cp:lastModifiedBy>
  <dcterms:modified xsi:type="dcterms:W3CDTF">2024-08-28T07:05:40Z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832811F94EDD4CDAB083C645FB2DFE7D_12</vt:lpwstr>
  </property>
</Properties>
</file>